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D51" w:rsidRPr="00287D51" w:rsidRDefault="00287D51" w:rsidP="00287D51">
      <w:pPr>
        <w:widowControl/>
        <w:spacing w:before="240" w:after="240" w:line="360" w:lineRule="auto"/>
        <w:jc w:val="center"/>
        <w:rPr>
          <w:rFonts w:ascii="Arial" w:eastAsia="宋体" w:hAnsi="Arial" w:cs="Arial"/>
          <w:color w:val="646464"/>
          <w:kern w:val="0"/>
          <w:sz w:val="18"/>
          <w:szCs w:val="18"/>
        </w:rPr>
      </w:pPr>
      <w:r w:rsidRPr="00287D51">
        <w:rPr>
          <w:rFonts w:ascii="宋体" w:eastAsia="宋体" w:hAnsi="宋体" w:cs="Arial" w:hint="eastAsia"/>
          <w:b/>
          <w:bCs/>
          <w:color w:val="000000"/>
          <w:kern w:val="0"/>
          <w:sz w:val="36"/>
          <w:szCs w:val="36"/>
          <w:shd w:val="clear" w:color="auto" w:fill="FFFFFF"/>
        </w:rPr>
        <w:t>封丘县国有建设用地使用权出让网上挂牌公告</w:t>
      </w:r>
    </w:p>
    <w:p w:rsidR="00287D51" w:rsidRPr="00287D51" w:rsidRDefault="00287D51" w:rsidP="00287D51">
      <w:pPr>
        <w:widowControl/>
        <w:spacing w:before="240" w:after="240" w:line="360" w:lineRule="auto"/>
        <w:jc w:val="center"/>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（封丘县网挂告字（2023）33号）</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经封丘县人民政府批准，封丘县自然资源局决定以网上挂牌方式出让以下1（幅）地块的国有建设用地使用权，并指定封丘县自然资源局组织实施。现将有关事项公告如下：</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一、挂牌地块的基本情况和规划指标要求</w:t>
      </w:r>
    </w:p>
    <w:tbl>
      <w:tblPr>
        <w:tblW w:w="0" w:type="auto"/>
        <w:tblCellMar>
          <w:top w:w="15" w:type="dxa"/>
          <w:left w:w="15" w:type="dxa"/>
          <w:bottom w:w="15" w:type="dxa"/>
          <w:right w:w="15" w:type="dxa"/>
        </w:tblCellMar>
        <w:tblLook w:val="04A0" w:firstRow="1" w:lastRow="0" w:firstColumn="1" w:lastColumn="0" w:noHBand="0" w:noVBand="1"/>
      </w:tblPr>
      <w:tblGrid>
        <w:gridCol w:w="511"/>
        <w:gridCol w:w="936"/>
        <w:gridCol w:w="936"/>
        <w:gridCol w:w="2285"/>
        <w:gridCol w:w="1804"/>
        <w:gridCol w:w="846"/>
        <w:gridCol w:w="902"/>
        <w:gridCol w:w="1174"/>
        <w:gridCol w:w="1062"/>
        <w:gridCol w:w="650"/>
        <w:gridCol w:w="734"/>
        <w:gridCol w:w="1287"/>
        <w:gridCol w:w="1287"/>
        <w:gridCol w:w="706"/>
      </w:tblGrid>
      <w:tr w:rsidR="00287D51" w:rsidRPr="00287D51" w:rsidTr="00287D51">
        <w:tc>
          <w:tcPr>
            <w:tcW w:w="12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b/>
                <w:bCs/>
                <w:color w:val="646464"/>
                <w:kern w:val="0"/>
                <w:szCs w:val="21"/>
              </w:rPr>
            </w:pPr>
            <w:r w:rsidRPr="00287D51">
              <w:rPr>
                <w:rFonts w:ascii="宋体" w:eastAsia="宋体" w:hAnsi="宋体" w:cs="Arial" w:hint="eastAsia"/>
                <w:b/>
                <w:bCs/>
                <w:color w:val="646464"/>
                <w:kern w:val="0"/>
                <w:szCs w:val="21"/>
              </w:rPr>
              <w:t>序号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地块编号</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地块名称</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土地位置</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土地面积</w:t>
            </w:r>
          </w:p>
        </w:tc>
        <w:tc>
          <w:tcPr>
            <w:tcW w:w="64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土地用途</w:t>
            </w:r>
          </w:p>
        </w:tc>
        <w:tc>
          <w:tcPr>
            <w:tcW w:w="51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容积率</w:t>
            </w:r>
          </w:p>
        </w:tc>
        <w:tc>
          <w:tcPr>
            <w:tcW w:w="93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建筑密度</w:t>
            </w:r>
          </w:p>
        </w:tc>
        <w:tc>
          <w:tcPr>
            <w:tcW w:w="49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绿地率</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出让年限</w:t>
            </w:r>
          </w:p>
        </w:tc>
        <w:tc>
          <w:tcPr>
            <w:tcW w:w="45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有无底价</w:t>
            </w:r>
          </w:p>
        </w:tc>
        <w:tc>
          <w:tcPr>
            <w:tcW w:w="840"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起始价</w:t>
            </w:r>
          </w:p>
        </w:tc>
        <w:tc>
          <w:tcPr>
            <w:tcW w:w="88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保证金</w:t>
            </w:r>
          </w:p>
        </w:tc>
        <w:tc>
          <w:tcPr>
            <w:tcW w:w="525" w:type="dxa"/>
            <w:tcBorders>
              <w:top w:val="single" w:sz="12" w:space="0" w:color="BBBBBB"/>
              <w:left w:val="single" w:sz="6" w:space="0" w:color="DDDDDD"/>
              <w:bottom w:val="single" w:sz="6" w:space="0" w:color="DDDDDD"/>
              <w:right w:val="single" w:sz="6" w:space="0" w:color="DDDDDD"/>
            </w:tcBorders>
            <w:shd w:val="clear" w:color="auto" w:fill="F7F7F7"/>
            <w:tcMar>
              <w:top w:w="75" w:type="dxa"/>
              <w:left w:w="150" w:type="dxa"/>
              <w:bottom w:w="75" w:type="dxa"/>
              <w:right w:w="150" w:type="dxa"/>
            </w:tcMar>
            <w:vAlign w:val="center"/>
            <w:hideMark/>
          </w:tcPr>
          <w:p w:rsidR="00287D51" w:rsidRPr="00287D51" w:rsidRDefault="00287D51" w:rsidP="00287D51">
            <w:pPr>
              <w:widowControl/>
              <w:spacing w:after="150"/>
              <w:jc w:val="center"/>
              <w:rPr>
                <w:rFonts w:ascii="宋体" w:eastAsia="宋体" w:hAnsi="宋体" w:cs="Arial" w:hint="eastAsia"/>
                <w:b/>
                <w:bCs/>
                <w:color w:val="646464"/>
                <w:kern w:val="0"/>
                <w:szCs w:val="21"/>
              </w:rPr>
            </w:pPr>
            <w:r w:rsidRPr="00287D51">
              <w:rPr>
                <w:rFonts w:ascii="宋体" w:eastAsia="宋体" w:hAnsi="宋体" w:cs="Arial" w:hint="eastAsia"/>
                <w:b/>
                <w:bCs/>
                <w:color w:val="646464"/>
                <w:kern w:val="0"/>
                <w:szCs w:val="21"/>
              </w:rPr>
              <w:t>竞价增幅</w:t>
            </w:r>
          </w:p>
        </w:tc>
      </w:tr>
      <w:tr w:rsidR="00287D51" w:rsidRPr="00287D51" w:rsidTr="00287D51">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2023-33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2023-33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封丘县规划南干道路南、开发路路西</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139954.65（平方米）</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工业用地</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1≤容积率</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40%≤建筑密度</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绿地率≤20%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20年</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无底价</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1757.83万元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1757.83万元</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vAlign w:val="center"/>
            <w:hideMark/>
          </w:tcPr>
          <w:p w:rsidR="00287D51" w:rsidRPr="00287D51" w:rsidRDefault="00287D51" w:rsidP="00287D51">
            <w:pPr>
              <w:widowControl/>
              <w:spacing w:after="150"/>
              <w:jc w:val="left"/>
              <w:rPr>
                <w:rFonts w:ascii="宋体" w:eastAsia="宋体" w:hAnsi="宋体" w:cs="Arial" w:hint="eastAsia"/>
                <w:color w:val="646464"/>
                <w:kern w:val="0"/>
                <w:szCs w:val="21"/>
              </w:rPr>
            </w:pPr>
            <w:r w:rsidRPr="00287D51">
              <w:rPr>
                <w:rFonts w:ascii="宋体" w:eastAsia="宋体" w:hAnsi="宋体" w:cs="Arial" w:hint="eastAsia"/>
                <w:color w:val="646464"/>
                <w:kern w:val="0"/>
                <w:szCs w:val="21"/>
              </w:rPr>
              <w:t>1万元</w:t>
            </w:r>
          </w:p>
        </w:tc>
      </w:tr>
    </w:tbl>
    <w:p w:rsidR="00287D51" w:rsidRPr="00287D51" w:rsidRDefault="00287D51" w:rsidP="00287D51">
      <w:pPr>
        <w:widowControl/>
        <w:spacing w:before="100" w:beforeAutospacing="1" w:after="100" w:afterAutospacing="1"/>
        <w:jc w:val="left"/>
        <w:rPr>
          <w:rFonts w:ascii="Arial" w:eastAsia="宋体" w:hAnsi="Arial" w:cs="Arial" w:hint="eastAsia"/>
          <w:color w:val="646464"/>
          <w:kern w:val="0"/>
          <w:sz w:val="18"/>
          <w:szCs w:val="18"/>
        </w:rPr>
      </w:pPr>
      <w:r w:rsidRPr="00287D51">
        <w:rPr>
          <w:rFonts w:ascii="Arial" w:eastAsia="宋体" w:hAnsi="Arial" w:cs="Arial"/>
          <w:color w:val="646464"/>
          <w:kern w:val="0"/>
          <w:sz w:val="18"/>
          <w:szCs w:val="18"/>
        </w:rPr>
        <w:t> </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具体以规划部门出具的规划指标为准，详见《规划条件通知书》。</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二、竞买申请条件和要求</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lastRenderedPageBreak/>
        <w:t>中华人民共和国境内外的法人、自然人和其他组织，符合网上出让公告或出让须知中明确的资格条件，均可参加本次国有建设用地使用权网上挂牌活动。</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三、确定竞得入选人方式</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本次国有建设用地使用权网上挂牌出让按照价高者得原则确定竞得入选人。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（1）地块如果未设底价的，报价最高者即为竞得入选人。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（2）地块如果设有底价的，报价最高且不低于底价者即为竞得入选人。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四、报名及保证金截止时间</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竞买申请人可在2023年09月05日 09时00分至2023年09月12日 17时00分登录河南省土地使用权网上交易系统，提交申请。竞买保证金到账截止时间为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2023年09月12日 17时00分（地块编号：2023-33）。</w:t>
      </w:r>
      <w:r w:rsidRPr="00287D51">
        <w:rPr>
          <w:rFonts w:ascii="宋体" w:eastAsia="宋体" w:hAnsi="宋体" w:cs="Arial" w:hint="eastAsia"/>
          <w:color w:val="000000"/>
          <w:kern w:val="0"/>
          <w:sz w:val="29"/>
          <w:szCs w:val="29"/>
          <w:shd w:val="clear" w:color="auto" w:fill="FFFFFF"/>
        </w:rPr>
        <w:br/>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温馨提示：为避免因竞买保证金到账时间延误，影响您顺利获取网上交易竞买资格，建议您在保证金到账截止时间的1至2天之前交纳竞买保证金。</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lastRenderedPageBreak/>
        <w:t>五、挂牌时间及网址</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挂牌报价时间为：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rPr>
        <w:t>2023-33地块： 2023年09月05日 09时00分00秒至2023年09月14日 09时30分00秒。</w:t>
      </w:r>
      <w:r w:rsidRPr="00287D51">
        <w:rPr>
          <w:rFonts w:ascii="宋体" w:eastAsia="宋体" w:hAnsi="宋体" w:cs="Arial" w:hint="eastAsia"/>
          <w:color w:val="000000"/>
          <w:kern w:val="0"/>
          <w:sz w:val="29"/>
          <w:szCs w:val="29"/>
        </w:rPr>
        <w:br/>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挂牌网址：http://td.hnggzy.com。</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六、出让资料获取方式</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本次挂牌出让的详细资料和具体要求，见挂牌出让须知及其他出让文件。挂牌出让须知及其他出让文件可从网上交易系统查看和打印。</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t>七、资格审查</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本次国有建设用地使用权网上出让实行竞得入选人资格后审制度，即竞买申请人在网上交易系统按规定递交竞买申请并按时足额交纳了竞买保证金后，网上交易系统将自动颁发《国有建设用地使用权竞买保证金到账确认书》，确认其竞买资格，出让人只对网上交易的竞得入选人进行资格审查。如因竞得入选人的资格审查未通过，造成本次出让地块不成交的，由竞得入选人自行承当相应责任。</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b/>
          <w:bCs/>
          <w:color w:val="000000"/>
          <w:kern w:val="0"/>
          <w:sz w:val="29"/>
          <w:szCs w:val="29"/>
          <w:shd w:val="clear" w:color="auto" w:fill="FFFFFF"/>
        </w:rPr>
        <w:lastRenderedPageBreak/>
        <w:t>八、风险提示</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竞买人应该谨慎报价，报价一经提交，不得修改或者撤回。网上挂牌报价截止之前，竞买人至少进行一次有效报价才有资格参加限时竞价。</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操作系统请使用Win7、Win8、Win10；浏览器请使用IE10以上版本，其它操作系统与浏览器可能会影响您正常参与网上交易活动。数字证书驱动请到交易系统“服务指南-资料下载”中下载，并正确安装。请竞买人在竞买前仔细检查好自己电脑的运行环境，并先到网上交易模拟系统练习，以免影响您的报价、竞价。</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特此公告</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联系电话：0373-8280525</w:t>
      </w:r>
    </w:p>
    <w:p w:rsidR="00287D51" w:rsidRPr="00287D51" w:rsidRDefault="00287D51" w:rsidP="00287D51">
      <w:pPr>
        <w:widowControl/>
        <w:spacing w:before="240" w:after="240" w:line="360" w:lineRule="auto"/>
        <w:ind w:firstLine="540"/>
        <w:jc w:val="lef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联系人： 陈 鹏</w:t>
      </w:r>
    </w:p>
    <w:p w:rsidR="00287D51" w:rsidRPr="00287D51" w:rsidRDefault="00287D51" w:rsidP="00287D51">
      <w:pPr>
        <w:widowControl/>
        <w:spacing w:before="240" w:after="240" w:line="360" w:lineRule="auto"/>
        <w:jc w:val="righ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封丘县自然资源局</w:t>
      </w:r>
    </w:p>
    <w:p w:rsidR="00287D51" w:rsidRPr="00287D51" w:rsidRDefault="00287D51" w:rsidP="00287D51">
      <w:pPr>
        <w:widowControl/>
        <w:spacing w:before="240" w:after="240" w:line="360" w:lineRule="auto"/>
        <w:jc w:val="right"/>
        <w:rPr>
          <w:rFonts w:ascii="Arial" w:eastAsia="宋体" w:hAnsi="Arial" w:cs="Arial"/>
          <w:color w:val="646464"/>
          <w:kern w:val="0"/>
          <w:sz w:val="18"/>
          <w:szCs w:val="18"/>
        </w:rPr>
      </w:pPr>
      <w:r w:rsidRPr="00287D51">
        <w:rPr>
          <w:rFonts w:ascii="宋体" w:eastAsia="宋体" w:hAnsi="宋体" w:cs="Arial" w:hint="eastAsia"/>
          <w:color w:val="000000"/>
          <w:kern w:val="0"/>
          <w:sz w:val="29"/>
          <w:szCs w:val="29"/>
          <w:shd w:val="clear" w:color="auto" w:fill="FFFFFF"/>
        </w:rPr>
        <w:t>2023年08月15日</w:t>
      </w:r>
    </w:p>
    <w:p w:rsidR="00287D51" w:rsidRPr="00287D51" w:rsidRDefault="00287D51" w:rsidP="00287D51">
      <w:pPr>
        <w:widowControl/>
        <w:spacing w:before="100" w:beforeAutospacing="1" w:after="100" w:afterAutospacing="1" w:line="360" w:lineRule="auto"/>
        <w:jc w:val="left"/>
        <w:rPr>
          <w:rFonts w:ascii="Arial" w:eastAsia="宋体" w:hAnsi="Arial" w:cs="Arial"/>
          <w:color w:val="646464"/>
          <w:kern w:val="0"/>
          <w:sz w:val="18"/>
          <w:szCs w:val="18"/>
        </w:rPr>
      </w:pPr>
      <w:r w:rsidRPr="00287D51">
        <w:rPr>
          <w:rFonts w:ascii="Calibri" w:eastAsia="宋体" w:hAnsi="Calibri" w:cs="Calibri"/>
          <w:color w:val="646464"/>
          <w:kern w:val="0"/>
          <w:sz w:val="29"/>
          <w:szCs w:val="29"/>
        </w:rPr>
        <w:t> </w:t>
      </w:r>
    </w:p>
    <w:p w:rsidR="00995F6B" w:rsidRDefault="00995F6B">
      <w:bookmarkStart w:id="0" w:name="_GoBack"/>
      <w:bookmarkEnd w:id="0"/>
    </w:p>
    <w:sectPr w:rsidR="00995F6B" w:rsidSect="00287D51">
      <w:pgSz w:w="16838" w:h="11906" w:orient="landscape"/>
      <w:pgMar w:top="851" w:right="851" w:bottom="849"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426" w:rsidRDefault="00997426" w:rsidP="00287D51">
      <w:r>
        <w:separator/>
      </w:r>
    </w:p>
  </w:endnote>
  <w:endnote w:type="continuationSeparator" w:id="0">
    <w:p w:rsidR="00997426" w:rsidRDefault="00997426" w:rsidP="00287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426" w:rsidRDefault="00997426" w:rsidP="00287D51">
      <w:r>
        <w:separator/>
      </w:r>
    </w:p>
  </w:footnote>
  <w:footnote w:type="continuationSeparator" w:id="0">
    <w:p w:rsidR="00997426" w:rsidRDefault="00997426" w:rsidP="00287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D64"/>
    <w:rsid w:val="00287D51"/>
    <w:rsid w:val="0040208A"/>
    <w:rsid w:val="00462027"/>
    <w:rsid w:val="00842D64"/>
    <w:rsid w:val="00995F6B"/>
    <w:rsid w:val="0099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081D5E-2582-4D26-B79D-A6D978BD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D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7D51"/>
    <w:rPr>
      <w:sz w:val="18"/>
      <w:szCs w:val="18"/>
    </w:rPr>
  </w:style>
  <w:style w:type="paragraph" w:styleId="a5">
    <w:name w:val="footer"/>
    <w:basedOn w:val="a"/>
    <w:link w:val="a6"/>
    <w:uiPriority w:val="99"/>
    <w:unhideWhenUsed/>
    <w:rsid w:val="00287D51"/>
    <w:pPr>
      <w:tabs>
        <w:tab w:val="center" w:pos="4153"/>
        <w:tab w:val="right" w:pos="8306"/>
      </w:tabs>
      <w:snapToGrid w:val="0"/>
      <w:jc w:val="left"/>
    </w:pPr>
    <w:rPr>
      <w:sz w:val="18"/>
      <w:szCs w:val="18"/>
    </w:rPr>
  </w:style>
  <w:style w:type="character" w:customStyle="1" w:styleId="a6">
    <w:name w:val="页脚 字符"/>
    <w:basedOn w:val="a0"/>
    <w:link w:val="a5"/>
    <w:uiPriority w:val="99"/>
    <w:rsid w:val="00287D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965039">
      <w:bodyDiv w:val="1"/>
      <w:marLeft w:val="0"/>
      <w:marRight w:val="0"/>
      <w:marTop w:val="0"/>
      <w:marBottom w:val="0"/>
      <w:divBdr>
        <w:top w:val="none" w:sz="0" w:space="0" w:color="auto"/>
        <w:left w:val="none" w:sz="0" w:space="0" w:color="auto"/>
        <w:bottom w:val="none" w:sz="0" w:space="0" w:color="auto"/>
        <w:right w:val="none" w:sz="0" w:space="0" w:color="auto"/>
      </w:divBdr>
      <w:divsChild>
        <w:div w:id="40832915">
          <w:marLeft w:val="120"/>
          <w:marRight w:val="12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Words>
  <Characters>1150</Characters>
  <Application>Microsoft Office Word</Application>
  <DocSecurity>0</DocSecurity>
  <Lines>9</Lines>
  <Paragraphs>2</Paragraphs>
  <ScaleCrop>false</ScaleCrop>
  <Company>DoubleOX</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2023-08-15T08:57:00Z</dcterms:created>
  <dcterms:modified xsi:type="dcterms:W3CDTF">2023-08-15T08:57:00Z</dcterms:modified>
</cp:coreProperties>
</file>