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封丘县卫生健康委员会行政执法全过程音像记录事项清单</w:t>
      </w:r>
    </w:p>
    <w:tbl>
      <w:tblPr>
        <w:tblStyle w:val="3"/>
        <w:tblW w:w="10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645"/>
        <w:gridCol w:w="975"/>
        <w:gridCol w:w="960"/>
        <w:gridCol w:w="945"/>
        <w:gridCol w:w="780"/>
        <w:gridCol w:w="1140"/>
        <w:gridCol w:w="615"/>
        <w:gridCol w:w="630"/>
        <w:gridCol w:w="1365"/>
        <w:gridCol w:w="825"/>
        <w:gridCol w:w="825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执法项目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记录事项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记录场所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执法时限要求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记录载体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开始记录时间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记录过程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结束记录时间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执法记录方式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所有许可事项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受理、审查现场核查全过程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核查现场或办公场所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照相机、录像机或视频监控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程序启动前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受理申请时一次性告知补正、根据需要开展实地核查的过程。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程序结束后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435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检查现场表明身份、出示执法证件、实地检查和调取证据全过程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执法现场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执法记录仪或照相机、录像机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检查开始前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对被检查企业或项目进行检查、询问、核实、记录。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检查结束后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435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调查取证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现场调查取证全过程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调查取证场所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执法记录仪或照相机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现场取证开始前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案件调查人员为查明案情、依法对违法事实的现场或场所、物品等检查和勘验，并记录检查勘验情况的过程。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现场取证结束后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435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询问笔录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询问笔录全过程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询问室或办公室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执法记录仪或照相机、录像机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询问开始前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案件调查人员对进入询问场所、表明身份、出示执法证件、说明询问事项及当事人的权利、询问过程进行全过程记录。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询问结束后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435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陈述、申辩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陈述、申辩全过程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陈述、申辩场所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执法记录仪或录像机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陈述申辩开始前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记录当事人陈述申辩全过程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陈述申辩结束后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封丘县卫生健康委员会行政执法全过程音像记录事项清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单</w:t>
      </w:r>
    </w:p>
    <w:tbl>
      <w:tblPr>
        <w:tblStyle w:val="3"/>
        <w:tblW w:w="10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645"/>
        <w:gridCol w:w="975"/>
        <w:gridCol w:w="960"/>
        <w:gridCol w:w="585"/>
        <w:gridCol w:w="750"/>
        <w:gridCol w:w="915"/>
        <w:gridCol w:w="600"/>
        <w:gridCol w:w="855"/>
        <w:gridCol w:w="1470"/>
        <w:gridCol w:w="795"/>
        <w:gridCol w:w="76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执法项目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记录事项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记录场所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执法时限要求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载体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开始记录时间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记录过程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结束记录时间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执法记录方式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先行登记保存证据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先行登记保存证据全过程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执法现场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执法记录仪或录像机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先行登记保存证据开始前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执法人员在证据可能灭世或以后难以取得的情况下，依法采取先行登记保存证据措施的过程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先行登记保存证据结束后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应当同时进行音像记录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举行听证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听证全过程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听证现场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执法记录仪或录像机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听证开始前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执法人员依法记录听政全过程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听证结束后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应当同时进行音像记录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集体讨论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集体讨论全过程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集体讨论现场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执法记录仪或录像机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集体讨论开始前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执法人员依法记录集体讨论全过程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讨论结束后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对责令改正情况的现场核查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现场核查全过程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核查现场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执法记录仪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现场核查前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对改正情况进行全过程记录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核查结束后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应当同时进行音像记录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行政处罚检查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当事人不配合调查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当事人不配合调查的过程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执法现场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执法记录仪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对进入调查取证场所、表明身份、出示执法证件、当事人拒绝接受检查的全过程记录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调查结束后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应当同时进行音像记录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行政处罚检查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文书送达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文书送达全过程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送达场所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适时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执法记录仪或照相机、录像机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文书送达开始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执法人员依法送达文书的全过程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文书送达结束后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可以同时进行音像记录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留置送达应当进行音像记录</w:t>
            </w:r>
          </w:p>
        </w:tc>
      </w:tr>
    </w:tbl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DBjMzJkODM0YTgyNmQ1ZWYwM2M4MDI3OWNjNGMifQ=="/>
  </w:docVars>
  <w:rsids>
    <w:rsidRoot w:val="74DB01CC"/>
    <w:rsid w:val="020C6D58"/>
    <w:rsid w:val="18765F2E"/>
    <w:rsid w:val="4CB21F7F"/>
    <w:rsid w:val="61635A22"/>
    <w:rsid w:val="628E3CD3"/>
    <w:rsid w:val="74DB01CC"/>
    <w:rsid w:val="7A2E56D4"/>
    <w:rsid w:val="7EE2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1167</Characters>
  <Lines>0</Lines>
  <Paragraphs>0</Paragraphs>
  <TotalTime>1</TotalTime>
  <ScaleCrop>false</ScaleCrop>
  <LinksUpToDate>false</LinksUpToDate>
  <CharactersWithSpaces>1167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2021-10-20T02:58:00Z</dcterms:created>
  <dc:creator>Xu.</dc:creator>
  <cp:lastModifiedBy>健康卫士</cp:lastModifiedBy>
  <dcterms:modified xsi:type="dcterms:W3CDTF">2023-02-07T00:28:49Z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0055693C8BA94D70844818A22B454AE3</vt:lpwstr>
  </property>
</Properties>
</file>