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79" w:lineRule="exact"/>
        <w:ind w:left="0" w:leftChars="0" w:firstLine="0" w:firstLineChars="0"/>
        <w:jc w:val="left"/>
        <w:textAlignment w:val="auto"/>
        <w:rPr>
          <w:rFonts w:hint="default" w:ascii="Times New Roman" w:hAnsi="Times New Roman" w:eastAsia="黑体" w:cs="Times New Roman"/>
          <w:kern w:val="2"/>
          <w:sz w:val="21"/>
          <w:szCs w:val="32"/>
        </w:rPr>
      </w:pPr>
      <w:r>
        <w:rPr>
          <w:rFonts w:hint="default" w:ascii="Times New Roman" w:hAnsi="Times New Roman" w:eastAsia="黑体" w:cs="Times New Roman"/>
          <w:b w:val="0"/>
          <w:bCs w:val="0"/>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79" w:lineRule="exact"/>
        <w:ind w:firstLine="0" w:firstLineChars="0"/>
        <w:jc w:val="center"/>
        <w:textAlignment w:val="auto"/>
        <w:rPr>
          <w:rFonts w:hint="default" w:ascii="Times New Roman" w:hAnsi="Times New Roman" w:eastAsia="仿宋" w:cs="Times New Roman"/>
          <w:kern w:val="2"/>
          <w:sz w:val="21"/>
          <w:szCs w:val="32"/>
        </w:rPr>
      </w:pPr>
      <w:r>
        <w:rPr>
          <w:rFonts w:hint="default" w:ascii="Times New Roman" w:hAnsi="Times New Roman" w:eastAsia="方正小标宋简体" w:cs="Times New Roman"/>
          <w:bCs/>
          <w:kern w:val="2"/>
          <w:sz w:val="44"/>
          <w:szCs w:val="44"/>
        </w:rPr>
        <w:t>专项整治工作成员单位职责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rPr>
        <w:t>县政府</w:t>
      </w:r>
      <w:r>
        <w:rPr>
          <w:rFonts w:hint="default" w:ascii="Times New Roman" w:hAnsi="Times New Roman" w:cs="Times New Roman"/>
          <w:color w:val="auto"/>
          <w:kern w:val="2"/>
          <w:sz w:val="32"/>
          <w:szCs w:val="32"/>
          <w:highlight w:val="none"/>
          <w:u w:val="none"/>
          <w:lang w:val="en-US" w:eastAsia="zh-CN"/>
        </w:rPr>
        <w:t>办公室</w:t>
      </w:r>
      <w:r>
        <w:rPr>
          <w:rFonts w:hint="default" w:ascii="Times New Roman" w:hAnsi="Times New Roman" w:eastAsia="仿宋_GB2312" w:cs="Times New Roman"/>
          <w:color w:val="auto"/>
          <w:kern w:val="2"/>
          <w:sz w:val="32"/>
          <w:szCs w:val="32"/>
          <w:highlight w:val="none"/>
          <w:u w:val="none"/>
          <w:lang w:val="en-US" w:eastAsia="zh-CN"/>
        </w:rPr>
        <w:t>：负责专项整治工作的组织和协调工作。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rPr>
        <w:t>县纪委监委：负责对相关职能部门、</w:t>
      </w:r>
      <w:r>
        <w:rPr>
          <w:rFonts w:hint="default" w:ascii="Times New Roman" w:hAnsi="Times New Roman" w:cs="Times New Roman"/>
          <w:color w:val="auto"/>
          <w:kern w:val="2"/>
          <w:sz w:val="32"/>
          <w:szCs w:val="32"/>
          <w:highlight w:val="none"/>
          <w:u w:val="none"/>
          <w:lang w:val="en-US" w:eastAsia="zh-CN"/>
        </w:rPr>
        <w:t>涉及</w:t>
      </w:r>
      <w:r>
        <w:rPr>
          <w:rFonts w:hint="default" w:ascii="Times New Roman" w:hAnsi="Times New Roman" w:eastAsia="仿宋_GB2312" w:cs="Times New Roman"/>
          <w:color w:val="auto"/>
          <w:kern w:val="2"/>
          <w:sz w:val="32"/>
          <w:szCs w:val="32"/>
          <w:highlight w:val="none"/>
          <w:u w:val="none"/>
          <w:lang w:val="en-US" w:eastAsia="zh-CN"/>
        </w:rPr>
        <w:t>乡镇自备井排查不认真、整改落实不到位的单位和</w:t>
      </w:r>
      <w:r>
        <w:rPr>
          <w:rFonts w:hint="default" w:ascii="Times New Roman" w:hAnsi="Times New Roman" w:cs="Times New Roman"/>
          <w:color w:val="auto"/>
          <w:kern w:val="2"/>
          <w:sz w:val="32"/>
          <w:szCs w:val="32"/>
          <w:highlight w:val="none"/>
          <w:u w:val="none"/>
          <w:lang w:val="en-US" w:eastAsia="zh-CN"/>
        </w:rPr>
        <w:t>个</w:t>
      </w:r>
      <w:r>
        <w:rPr>
          <w:rFonts w:hint="default" w:ascii="Times New Roman" w:hAnsi="Times New Roman" w:eastAsia="仿宋_GB2312" w:cs="Times New Roman"/>
          <w:color w:val="auto"/>
          <w:kern w:val="2"/>
          <w:sz w:val="32"/>
          <w:szCs w:val="32"/>
          <w:highlight w:val="none"/>
          <w:u w:val="none"/>
          <w:lang w:val="en-US" w:eastAsia="zh-CN"/>
        </w:rPr>
        <w:t>人进行责任追究。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县委县政府督查局：负责对涉及单位和乡镇封井实施情况进行督促检查。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both"/>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检察院：负责本系统排查登记和封井工作；负责按照《河南省人民检察院河南省水利厅关于水行政执法与检察公益诉讼协作机制的实施细则》，对移交的案件，提供法律意见，对案情重大复杂的，在调查取证、追缴赔偿费用等方面予以支持；负责对封井工作各个环节进行监督，对怠于履职或履职不力的单位制发诉前检察建议；对拒不封井的单位和个人，以及经诉前检察建议仍不予履职的有关职能部门，视情况提起民事公益诉讼或行政公益诉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县发改委：负责特种行业用水价格的政策支持。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县公安局：负责本系统排查登记和封井工作；负责对行政执法过程中出现的阻挠执法行为依法予以打击处理。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县自然资源局：负责排查地热井用水户是否办理矿产资源</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证；配合对非法取用地热水行为进行行政处罚。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县税务局：负责按照税收规定，对非法取用地热水行为征收矿产资源税。</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县水利局：负责牵头实施、组织协调专项整治工作；水利法律法规的咨询服务；对排查、封井信息进行汇总登记，建立台账。对不能自行封闭自备井、地热井的，负责组织协调相关部门依法强制拆除及封闭工作。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县住管局：负责协调县自来水公司管网铺设，解决封井后水源置换问题；负责城区住宅小区及本系统排查登记和封井工作；负责对本系统内违法自备井（或地热井）依法强制拆除及封闭工作。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县商务局：负责城区大型商超、加油站及本系统排查登记和封井工作。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县市场监管局：负责城区个体工商户、酒店、宾馆及本系统排查登记和配合封井工作。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县卫健委：负责洗浴中心及本系统排查登记和封井工作。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县教体局：负责本系统排查登记和封井工作。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市生态环境局封丘分局：负责地热井封闭期间的地下水污染防治；负责本系统排查登记和封井工作。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县先进制造业开发区管委会：协助水利局完成先进制造业开发区内原产业集聚区片区的自备井排查登记和封井工作。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县长封飞地产业园区管委会：配合水利部门完成园区内的自备井排查登记和封井工作。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县融媒体中心：负责专项整治工作的宣传，对封井工作进行跟踪报道。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县供电公司：负责系统内的自备井排查登记和封井工作；配合综合执法队伍对逾期未关闭的自备井及地热井按照相关程序采取断电措施。</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right="0" w:rightChars="0" w:firstLine="640" w:firstLineChars="200"/>
        <w:jc w:val="left"/>
        <w:textAlignment w:val="auto"/>
        <w:outlineLvl w:val="9"/>
        <w:rPr>
          <w:rFonts w:hint="default" w:ascii="Times New Roman" w:hAnsi="Times New Roman" w:cs="Times New Roman"/>
          <w:color w:val="auto"/>
          <w:kern w:val="2"/>
          <w:sz w:val="32"/>
          <w:szCs w:val="32"/>
          <w:highlight w:val="none"/>
          <w:u w:val="none"/>
          <w:lang w:val="en-US" w:eastAsia="zh-CN"/>
        </w:rPr>
      </w:pPr>
      <w:r>
        <w:rPr>
          <w:rFonts w:hint="default" w:ascii="Times New Roman" w:hAnsi="Times New Roman" w:cs="Times New Roman"/>
          <w:color w:val="auto"/>
          <w:kern w:val="2"/>
          <w:sz w:val="32"/>
          <w:szCs w:val="32"/>
          <w:highlight w:val="none"/>
          <w:u w:val="none"/>
          <w:lang w:val="en-US" w:eastAsia="zh-CN"/>
        </w:rPr>
        <w:t>各乡（镇）：按照属地管理原则，各乡镇负责本辖区内自备井、地热井封闭工作的宣传教育、排查登记、配合水利部门下达相关的整改文书、封井等具体工作的实施。</w:t>
      </w:r>
    </w:p>
    <w:p>
      <w:bookmarkStart w:id="0" w:name="_GoBack"/>
      <w:bookmarkEnd w:id="0"/>
    </w:p>
    <w:sectPr>
      <w:footerReference r:id="rId5" w:type="default"/>
      <w:pgSz w:w="11906" w:h="16838"/>
      <w:pgMar w:top="2098" w:right="1474" w:bottom="1984"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7"/>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EFFE63"/>
    <w:rsid w:val="53FF588D"/>
    <w:rsid w:val="56BB9CE0"/>
    <w:rsid w:val="7DBE980D"/>
    <w:rsid w:val="7EC6EA65"/>
    <w:rsid w:val="A29E94D2"/>
    <w:rsid w:val="ABEFFE63"/>
    <w:rsid w:val="DFDC2441"/>
    <w:rsid w:val="EBDB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00" w:lineRule="exact"/>
      <w:ind w:firstLine="200" w:firstLineChars="200"/>
      <w:jc w:val="both"/>
    </w:pPr>
    <w:rPr>
      <w:rFonts w:ascii="Calibri" w:hAnsi="Calibri" w:eastAsia="仿宋_GB2312" w:cs="Times New Roman"/>
      <w:sz w:val="28"/>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79"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79" w:lineRule="exact"/>
      <w:outlineLvl w:val="2"/>
    </w:pPr>
    <w:rPr>
      <w:rFonts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spacing w:before="100" w:beforeAutospacing="1"/>
      <w:ind w:firstLine="420" w:firstLineChars="100"/>
    </w:pPr>
    <w:rPr>
      <w:rFonts w:ascii="Calibri" w:hAnsi="Calibri" w:eastAsia="宋体" w:cs="Times New Roman"/>
      <w:kern w:val="2"/>
      <w:sz w:val="21"/>
      <w:szCs w:val="22"/>
      <w:lang w:val="en-US" w:eastAsia="zh-CN" w:bidi="ar-SA"/>
    </w:rPr>
  </w:style>
  <w:style w:type="paragraph" w:styleId="6">
    <w:name w:val="Body Text"/>
    <w:basedOn w:val="1"/>
    <w:next w:val="1"/>
    <w:qFormat/>
    <w:uiPriority w:val="0"/>
    <w:rPr>
      <w:rFonts w:ascii="宋体" w:hAnsi="宋体" w:eastAsia="宋体" w:cs="宋体"/>
      <w:sz w:val="32"/>
      <w:szCs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2024-09-06T20:35:00Z</dcterms:created>
  <dc:creator>administrator</dc:creator>
  <cp:lastModifiedBy>administrator</cp:lastModifiedBy>
  <dcterms:modified xsi:type="dcterms:W3CDTF">2024-09-06T12:37:12Z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