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320" w:lineRule="atLeast"/>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封丘县兴华商城片区改造项目房屋征收补偿</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320" w:lineRule="atLeast"/>
        <w:jc w:val="center"/>
        <w:textAlignment w:val="auto"/>
        <w:rPr>
          <w:rFonts w:hint="default" w:ascii="Times New Roman" w:hAnsi="Times New Roman" w:cs="Times New Roman" w:eastAsiaTheme="majorEastAsia"/>
          <w:b w:val="0"/>
          <w:bCs w:val="0"/>
          <w:color w:val="000000" w:themeColor="text1"/>
          <w:sz w:val="36"/>
          <w:szCs w:val="36"/>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安置方案（征求意见稿）</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300" w:lineRule="exact"/>
        <w:ind w:firstLine="640" w:firstLineChars="200"/>
        <w:textAlignment w:val="auto"/>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pP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为改善居民生活环境、</w:t>
      </w:r>
      <w:r>
        <w:rPr>
          <w:rFonts w:hint="eastAsia" w:ascii="仿宋_GB2312" w:hAnsi="仿宋_GB2312" w:eastAsia="仿宋_GB2312" w:cs="仿宋_GB2312"/>
          <w:color w:val="000000" w:themeColor="text1"/>
          <w:sz w:val="32"/>
          <w:szCs w:val="32"/>
          <w14:textFill>
            <w14:solidFill>
              <w14:schemeClr w14:val="tx1"/>
            </w14:solidFill>
          </w14:textFill>
        </w:rPr>
        <w:t>完善城市功能</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提升城市品位，推进“百城提质工程”建设，经县政府研究决定，拟对兴华商城片区（具体以规划红线图为准）内的房屋（含土地使用权）、构筑物和附属物依法进行征收。为保障被征收人的合法权益，统一征收补偿标准，实现旧城改造与城市规划目标，根据《国有土地上房屋征收与补偿条例》等法律法规，结合项目实际情况，特制定本方案。</w:t>
      </w:r>
    </w:p>
    <w:p>
      <w:pPr>
        <w:keepNext w:val="0"/>
        <w:keepLines w:val="0"/>
        <w:pageBreakBefore w:val="0"/>
        <w:widowControl/>
        <w:kinsoku/>
        <w:wordWrap/>
        <w:overflowPunct/>
        <w:topLinePunct w:val="0"/>
        <w:autoSpaceDE/>
        <w:autoSpaceDN/>
        <w:bidi w:val="0"/>
        <w:spacing w:beforeAutospacing="0" w:after="0" w:afterAutospacing="0" w:line="579" w:lineRule="exact"/>
        <w:ind w:left="0" w:leftChars="0" w:right="0" w:rightChars="0" w:firstLine="0" w:firstLineChars="0"/>
        <w:jc w:val="center"/>
        <w:textAlignment w:val="auto"/>
        <w:rPr>
          <w:rFonts w:hint="default" w:ascii="Times New Roman" w:hAnsi="Times New Roman" w:eastAsia="仿宋" w:cs="Times New Roman"/>
          <w:b w:val="0"/>
          <w:bCs w:val="0"/>
          <w:color w:val="000000" w:themeColor="text1"/>
          <w:sz w:val="32"/>
          <w:szCs w:val="32"/>
          <w14:textFill>
            <w14:solidFill>
              <w14:schemeClr w14:val="tx1"/>
            </w14:solidFill>
          </w14:textFill>
        </w:rPr>
      </w:pPr>
      <w:r>
        <w:rPr>
          <w:rFonts w:hint="eastAsia" w:ascii="Times New Roman" w:hAnsi="Times New Roman" w:eastAsia="黑体" w:cs="Times New Roman"/>
          <w:b w:val="0"/>
          <w:bCs w:val="0"/>
          <w:color w:val="000000" w:themeColor="text1"/>
          <w:sz w:val="32"/>
          <w:szCs w:val="32"/>
          <w:lang w:eastAsia="zh-CN"/>
          <w14:textFill>
            <w14:solidFill>
              <w14:schemeClr w14:val="tx1"/>
            </w14:solidFill>
          </w14:textFill>
        </w:rPr>
        <w:t>第</w:t>
      </w:r>
      <w:r>
        <w:rPr>
          <w:rFonts w:hint="default" w:ascii="Times New Roman" w:hAnsi="Times New Roman" w:eastAsia="黑体" w:cs="Times New Roman"/>
          <w:b w:val="0"/>
          <w:bCs w:val="0"/>
          <w:color w:val="000000" w:themeColor="text1"/>
          <w:sz w:val="32"/>
          <w:szCs w:val="32"/>
          <w14:textFill>
            <w14:solidFill>
              <w14:schemeClr w14:val="tx1"/>
            </w14:solidFill>
          </w14:textFill>
        </w:rPr>
        <w:t>一</w:t>
      </w:r>
      <w:r>
        <w:rPr>
          <w:rFonts w:hint="eastAsia" w:ascii="Times New Roman" w:hAnsi="Times New Roman" w:eastAsia="黑体" w:cs="Times New Roman"/>
          <w:b w:val="0"/>
          <w:bCs w:val="0"/>
          <w:color w:val="000000" w:themeColor="text1"/>
          <w:sz w:val="32"/>
          <w:szCs w:val="32"/>
          <w:lang w:eastAsia="zh-CN"/>
          <w14:textFill>
            <w14:solidFill>
              <w14:schemeClr w14:val="tx1"/>
            </w14:solidFill>
          </w14:textFill>
        </w:rPr>
        <w:t>章　</w:t>
      </w:r>
      <w:r>
        <w:rPr>
          <w:rFonts w:hint="default" w:ascii="Times New Roman" w:hAnsi="Times New Roman" w:eastAsia="黑体" w:cs="Times New Roman"/>
          <w:b w:val="0"/>
          <w:bCs w:val="0"/>
          <w:color w:val="000000" w:themeColor="text1"/>
          <w:sz w:val="32"/>
          <w:szCs w:val="32"/>
          <w14:textFill>
            <w14:solidFill>
              <w14:schemeClr w14:val="tx1"/>
            </w14:solidFill>
          </w14:textFill>
        </w:rPr>
        <w:t>总  则</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第一条</w:t>
      </w: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 xml:space="preserve"> </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征收范围：南至南干道、北至自由路、西至商业路、东至文化路，具体以规划红线图为准。</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第二条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征收主体：封丘县人民政府</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第三条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征收部门：封丘县人民政府房屋征收办公室</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第四条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实施单位：封丘县城关镇人民政府</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第五条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被征收人：征收范围内建（构）筑物及附属物的所有权人</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第六条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征收期限：以该项目征收公告为准。</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第七条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实施单位成立兴华商城改造项目征收安置指挥部（以下简称：指挥部）。指挥部在县政府领导下组织和实施具体的征收补偿和搬迁安置工作。</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第八条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征收决定、补偿决定、违法建筑强制拆除决定由县人民政府负责制订或者作出，签定补偿安置协议等具体事务由指挥部负责实施。</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第九条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评估公司的选定。按照《河南省实施&lt;国有土地上房屋征收与补偿条例&gt;若干规定》第二章规定办法实施。由住建部门推荐不少于3家，具有相应资质的房地产评估机构在征收范围内公布，做为候选征收评估机构。由被征收人以协商、投票或随机方式选定评估机构，对被征收区域内的房屋（包括室内装修装饰）和附属物等进行评估。</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第十条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由指挥部、评估公司等人员组成勘测丈量组，其工作人员入户调查、勘测和丈量时，被征收人应予以配合，并提供房屋所有权证、土地使用权证及相关审批文件等对补偿有利的各种证件资料，逾期不配合或者不提供的，根据《最高人民法院关于行政诉讼证据若干问题的规定》第五十九条规定，自行承担不利的法律后果。</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第十一条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被征收人拒绝配合入户调查、勘测和丈量的，评估公司等在查阅复印房屋土地登记档案资料、走访调查、拍照录像、外围勘测丈量后，由勘测丈量组进行认定，认定结果在征收范围进行公示，以征收决定公告之日为估价时点作出评估报告。被征收人对评估报告有异议的，可以在10日内书面申请复核评估或者申请评估专家委员会鉴定。</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第十二条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为确保安置房按计划全面开工建设，政府下达征收决定后，对逾期不签订征收协议的，根据不同情况分别或者同时采取下列方法强制解决：</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（一）针对危房，由住管局组织危房鉴定机构对存在危险的房屋进行统一技术检测和鉴定，属于D级危房的，依法立即拆除；</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（二）针对违法建筑，县住管局根据《中华人民共和国城乡规划法》第六十四条规定，作出限期拆除决定。限定期限内不能自行拆除的，由县人民政府按照法律规定程序强制拆除；</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（三）违法信访的，根据《中华人民共和国治安管理处罚法》及公安部《关于公安机关处置信访活动中违法犯罪行为适用法律的指导意见》（公通字〔2013〕25号），由公安机关依法处理；</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四）针对合法建筑物，县人民政府按照《国有土地上房屋征收与补偿条例》第二十六条规定，作出补偿决定。被征收人在法定期限内不申请行政复议或者不提起行政诉讼，在补偿决定规定的期限内又不搬迁的，由封丘县人民政府依法申请人民法院强制拆除；</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（六）税务机关依法对被征收企业和经营者进行税收稽查和执法；</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（七）县直各职能部门在职权范围内依法履行职责，形成征收合力；</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（八）其他合法有效的方法。</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第十三条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被征收人在规定期限内签订拆迁补偿安置协议并腾空房屋，交出钥匙及房屋产权证、土地使用证等相关证件后交付征迁实施单位。经征迁实施单位验收后统一实施拆除。</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房屋拆除且地表清理完毕后，征收实施单位按规定整理被征收户原土地使用权资料，报请不动产登记机构办理相关注销手续。被征收户应当予以配合，否则征收实施单位有权拒绝协助被征收人办理安置房不动产登记手续。</w:t>
      </w:r>
    </w:p>
    <w:p>
      <w:pPr>
        <w:keepNext w:val="0"/>
        <w:keepLines w:val="0"/>
        <w:pageBreakBefore w:val="0"/>
        <w:widowControl/>
        <w:kinsoku/>
        <w:wordWrap/>
        <w:overflowPunct/>
        <w:topLinePunct w:val="0"/>
        <w:autoSpaceDE/>
        <w:autoSpaceDN/>
        <w:bidi w:val="0"/>
        <w:spacing w:beforeAutospacing="0" w:after="0" w:afterAutospacing="0" w:line="579" w:lineRule="exact"/>
        <w:ind w:left="0" w:leftChars="0" w:right="0" w:rightChars="0" w:firstLine="0" w:firstLineChars="0"/>
        <w:jc w:val="center"/>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第二章  房屋性质、面积的认定</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第十四条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征收范围内的下列建（构）筑物不予补偿。</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一、占用公共通道、公共部位及公用设施的建（构）筑物。</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二、改造范围内的违法、违章建（构）筑物，超过批准期限的临时建（构）筑物和未经批准建设的各类架（埋）设管线等。</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三、未取得规划许可证等相关批文，突击抢建、私搭乱建的建（构）筑物。</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四、其他情形的违法建（构）筑物。</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第十五条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房屋性质确定标准：</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一、符合下列条件之一的为住宅房屋：</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（一）《房屋所有权证书》用途栏内注明住宅的。</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（二）无《房屋所有权证书》，属兴华商城建成后分房所得，或有合法来源的永久居住用房。</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二、符合下列条件的为商业房屋：</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（一）《房屋所有权证书》用途栏内注明商业的。</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（二）无《房屋所有权证书》但有营业执照，并且确实用于仓储、经营的。</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（三）确定为商业房屋的，按照房屋所处区位分为A、B两类。</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1、临南干道、商业路、自由路、文化路、中心广场东西两侧的为A类商业房屋。对于位处转角、两侧开门的商业房，原则上界定A类商业房屋纵深不超过2间，其余面积界定为B类商业房。</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2、临市场内部道路的商业房屋全部界定为B类商业房。</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3、除原始分房面积之外，被征收人自主建设的永久性建筑界定为自建房屋。</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第十六条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对自建房屋全部按照900元/㎡或按评估价予以货币补偿。</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第十七条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房屋面积以《房屋所有权证书》标注的面积或按《房产测量规范》以实地勘测丈量计算的面积为准。</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第十八条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户数的确认</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被征收人户数按照“一证一户、一院一户”的原则确定。有房地产权属证书的，按权属证书确认户数，无房地产权属证书的，按一个自然院为一户确认户数。</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第十九条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变造、伪造或者骗取证件以及交款原始票据的，一经发现，按照伪造公文印章罪依法追究其刑事责任，所签订合同的条款无效，自行承担不利的法律后果。</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第二十条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本着“房地合一”原则，按照《国有土地上房屋征收与补偿条例》第十三条规定：“房屋被依法征收的，国有土地使用权同时收回。”只对有合法土地手续的土地使用权人进行补偿，土地面积大于房屋面积总和的，土地面积减去房屋面积总和，剩余土地按3：1置换住宅；土地面积小于或等于房屋面积总的，土地不予补偿。</w:t>
      </w:r>
    </w:p>
    <w:p>
      <w:pPr>
        <w:keepNext w:val="0"/>
        <w:keepLines w:val="0"/>
        <w:pageBreakBefore w:val="0"/>
        <w:widowControl/>
        <w:kinsoku/>
        <w:wordWrap/>
        <w:overflowPunct/>
        <w:topLinePunct w:val="0"/>
        <w:autoSpaceDE/>
        <w:autoSpaceDN/>
        <w:bidi w:val="0"/>
        <w:spacing w:beforeAutospacing="0" w:after="0" w:afterAutospacing="0" w:line="579" w:lineRule="exact"/>
        <w:ind w:left="0" w:leftChars="0" w:right="0" w:rightChars="0" w:firstLine="0" w:firstLineChars="0"/>
        <w:jc w:val="center"/>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第三章  补偿安置原则</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及选房办法</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第二十一条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被征收人可以选择货币补偿，也可以选择产权调换。坚持“公平公正公开、违法多盖不多得、守法少盖不少得”的原则推进征收补偿安置工作。</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一、征收范围内的房屋产权人属企事业单位的，一律按照市场评估价给予货币补偿,补偿资金一次性结清。</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二、被征收人选择货币补偿的，不再安置。对在规定期限内签定征收协议的被征收人的合法建筑采取以下补偿标准：</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1、A类商业房按4500元/㎡标准予以补偿；</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2、B类商业房和住宅按3800元/㎡予以补偿。</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三、被征收人选择产权调换的，按照以下方式予以安置：</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1、界定为A类商业房的可选择以下安置方式：</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①选择在封丘金银花农商产业园异地安置，安置面积比例按照1:1.1置换。</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②选择在本项目建设的住宅安置，安置面积比例按照1:1.1置换。</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③选择在本项目建设的商业房安置，安置面积比例按照1:1置换。</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新建房地产项目商业面积用于A类商业房屋的安置。对于A类商业房，被征收人选择第③种置换方式的，按签协议顺序号和交钥匙顺序号相加平均值从小到大先选。超出新建项目商业面积的自动转变为A类商业房的第①、②种安置方式。</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界定为B类商业房的可选择以下安置方式：</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①选择在封丘金银花农商产业园异地安置，安置面积比例按照1:1置换。</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②选择在本项目建设的住宅安置，安置面积比例按照1:1置换。</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界定为住宅房屋的可选择以下安置方式：</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①选择在封丘金银花农商产业园异地安置商业房，安置面积比例按照1:1置换。</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②选择在本项目建设的住宅安置，安置面积比例按照1:1置换。</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四、选定安置房后直接结算结构差价，结构差价为：砖混结构每平方米200元。</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五、被征收房屋租赁的，只对房屋所有权人进行补偿。</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六、补偿安置以户为单位，产权存在争议的，在提存补偿金、留存安置房指标并经公证处证据保全的前提下先行拆除，待产权依法界定后再进行补偿安置。</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第二十二条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安置房的选房办法 </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所有选择产权调换方式的被征收人，选房顺序号以签订协议的顺序号加交接腾空房屋钥匙的顺序号所得数值为准，数值小的优先选定，数值相同的以先签订协议者优先在安置区域内选定。签订协议和交接腾空房屋名单及时在指定的公示栏内公示。</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对A类商业、B类商业、住宅、原地安置、异地安置的被征收人分别设置“序号”，具体办法由指挥部制定。</w:t>
      </w:r>
    </w:p>
    <w:p>
      <w:pPr>
        <w:keepNext w:val="0"/>
        <w:keepLines w:val="0"/>
        <w:pageBreakBefore w:val="0"/>
        <w:widowControl/>
        <w:kinsoku/>
        <w:wordWrap/>
        <w:overflowPunct/>
        <w:topLinePunct w:val="0"/>
        <w:autoSpaceDE/>
        <w:autoSpaceDN/>
        <w:bidi w:val="0"/>
        <w:spacing w:beforeAutospacing="0" w:after="0" w:afterAutospacing="0" w:line="579" w:lineRule="exact"/>
        <w:ind w:right="0" w:firstLine="640" w:firstLineChars="200"/>
        <w:jc w:val="center"/>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第四章  安置房的</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建设标准</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第二十三条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交房标准</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一、按照抗7.5度地震裂度标准设计。</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二、住宅层高按国家标准执行。</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三、外墙面刷外墙漆，有外墙保温，内墙为水泥砂浆毛面，室内均为水泥砂浆地面，入户大门为优质防盗门，塑钢或铝合金窗户，楼梯间为水泥砂浆净面并设声控灯，房间设灯位、开关盒插座，卫生间预留管线到位，每户预设一个有线电视和宽带等弱电孔。</w:t>
      </w:r>
    </w:p>
    <w:p>
      <w:pPr>
        <w:keepNext w:val="0"/>
        <w:keepLines w:val="0"/>
        <w:pageBreakBefore w:val="0"/>
        <w:widowControl/>
        <w:kinsoku/>
        <w:wordWrap/>
        <w:overflowPunct/>
        <w:topLinePunct w:val="0"/>
        <w:autoSpaceDE/>
        <w:autoSpaceDN/>
        <w:bidi w:val="0"/>
        <w:spacing w:beforeAutospacing="0" w:after="0" w:afterAutospacing="0" w:line="579" w:lineRule="exact"/>
        <w:ind w:left="0" w:leftChars="0" w:right="0" w:rightChars="0" w:firstLine="0" w:firstLineChars="0"/>
        <w:jc w:val="center"/>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第五章  补偿安置及结算</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第二十四条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对非本村集体经济组织成员在中心广场，建设的钢结构大棚及附属物，按第三方评估价进行货币补偿。</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第二十五条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被征收人选择货币补偿的，由选定的评估机构，按照法定程序对被征收房屋进行评估，依据评估结果对被征收人进行货币补偿。签订《封丘县兴华商城片区改造项目房屋征收货币补偿协议书》，待腾空被征收房屋并交出钥匙后，支付被征收房屋补偿款和其他款项。</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第二十六条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被征收人选择产权调换的，签订《封丘县兴华商城片区改造项目房屋征收产权调换协议书》，待交清被征收房屋的房地产手续和按时腾空被征收房屋交出钥匙的，按照本方案第三章规定的标准和方式进行安置。</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第二十七条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因户型、面积和被征收人要求等原因，选房时会出现多要或少要面积的情况，按以下几种情况享受照顾价结算：</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1、选择原地安置住宅的：</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多要面积在10㎡以内的，统一按3000元／㎡结算；</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多要面积在30㎡以内的，统一按4000元／㎡结算；</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最多享受照顾价面积不得超过30㎡，超出部分按市场价结算。</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少要部分（指合法置换建筑面积），统一按被征收房屋性质对应的货币补偿标准结算。</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2、选择安置商业房的</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多要部分按照市场价格结算，少要部分按被征收房屋性质对应的货币补偿标准结算。</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第二十八条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厕所、围墙、简易棚、简易房、树木、独立门楼等按市县附属物补偿标准进行结算或按评估价予以货币补偿。</w:t>
      </w:r>
    </w:p>
    <w:p>
      <w:pPr>
        <w:keepNext w:val="0"/>
        <w:keepLines w:val="0"/>
        <w:pageBreakBefore w:val="0"/>
        <w:widowControl/>
        <w:kinsoku/>
        <w:wordWrap/>
        <w:overflowPunct/>
        <w:topLinePunct w:val="0"/>
        <w:autoSpaceDE/>
        <w:autoSpaceDN/>
        <w:bidi w:val="0"/>
        <w:spacing w:beforeAutospacing="0" w:after="0" w:afterAutospacing="0" w:line="579" w:lineRule="exact"/>
        <w:ind w:left="0" w:leftChars="0" w:right="0" w:rightChars="0" w:firstLine="0" w:firstLineChars="0"/>
        <w:jc w:val="center"/>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第六章  政策补助和奖励</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第二十九条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住宅房的临时安置费和商业房的停产停业补助。</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一、被征收人选择货币补偿的，没有临时安置费和停产停业补助。</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二、被征收人选择产权调换的：</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（一）选择原地安置住宅的，按照征收面积每月 3 元/㎡的标准一次性支付24个月。到期不能完成安置的，安置费双倍补偿，不可抗力除外。</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（二）商业房屋：合法建筑面积按20元/㎡/月标准支付3个月的停产停业补助，或按评估价予以补助。</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三、对正在经营的商户（包括租赁商户）搬迁至封丘金银花农商产业园经营的，免1年租金，到期后租金随行就市。</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两栋大棚下边的摊位租赁户，整体搬迁至封丘金银花农商产业园项目的大棚区内经营，享受封丘金银花农商产业园出台的优惠政策。</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第三十条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被征收人的搬迁补助费，按照每户1000元的标准一次性支付搬迁费。</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第三十一条  按规定时限签定征收补偿安置协议并腾空被征收房屋交钥匙的户，置换房屋免交结构差价。</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第三十二条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被征收人交验房屋时，必须保持房屋主体、门窗等设施完好，禁止私自拆卸，由拆除公司统一拆除。</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第三十三条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为鼓励先进，鞭策后进，本项目设立以下综合奖励：</w:t>
      </w:r>
    </w:p>
    <w:p>
      <w:pPr>
        <w:keepNext w:val="0"/>
        <w:keepLines w:val="0"/>
        <w:pageBreakBefore w:val="0"/>
        <w:widowControl/>
        <w:kinsoku/>
        <w:wordWrap/>
        <w:overflowPunct/>
        <w:topLinePunct w:val="0"/>
        <w:autoSpaceDE/>
        <w:autoSpaceDN/>
        <w:bidi w:val="0"/>
        <w:spacing w:beforeAutospacing="0" w:after="0" w:afterAutospacing="0" w:line="579" w:lineRule="exact"/>
        <w:ind w:right="0" w:firstLine="642"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一、签约奖励和搬迁奖励</w:t>
      </w:r>
    </w:p>
    <w:p>
      <w:pPr>
        <w:keepNext w:val="0"/>
        <w:keepLines w:val="0"/>
        <w:pageBreakBefore w:val="0"/>
        <w:widowControl/>
        <w:kinsoku/>
        <w:wordWrap/>
        <w:overflowPunct/>
        <w:topLinePunct w:val="0"/>
        <w:autoSpaceDE/>
        <w:autoSpaceDN/>
        <w:bidi w:val="0"/>
        <w:spacing w:beforeAutospacing="0" w:after="0" w:afterAutospacing="0" w:line="579" w:lineRule="exact"/>
        <w:ind w:right="0" w:firstLine="642"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（一）第1</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color w:val="000000" w:themeColor="text1"/>
          <w:sz w:val="32"/>
          <w:szCs w:val="32"/>
          <w14:textFill>
            <w14:solidFill>
              <w14:schemeClr w14:val="tx1"/>
            </w14:solidFill>
          </w14:textFill>
        </w:rPr>
        <w:t>天签订协议的，每户给予</w:t>
      </w:r>
      <w:r>
        <w:rPr>
          <w:rFonts w:hint="eastAsia" w:ascii="仿宋_GB2312" w:hAnsi="仿宋_GB2312" w:eastAsia="仿宋_GB2312" w:cs="仿宋_GB2312"/>
          <w:b/>
          <w:color w:val="000000" w:themeColor="text1"/>
          <w:sz w:val="32"/>
          <w:szCs w:val="32"/>
          <w:u w:val="single"/>
          <w14:textFill>
            <w14:solidFill>
              <w14:schemeClr w14:val="tx1"/>
            </w14:solidFill>
          </w14:textFill>
        </w:rPr>
        <w:t>10000</w:t>
      </w:r>
      <w:r>
        <w:rPr>
          <w:rFonts w:hint="eastAsia" w:ascii="仿宋_GB2312" w:hAnsi="仿宋_GB2312" w:eastAsia="仿宋_GB2312" w:cs="仿宋_GB2312"/>
          <w:b/>
          <w:color w:val="000000" w:themeColor="text1"/>
          <w:sz w:val="32"/>
          <w:szCs w:val="32"/>
          <w14:textFill>
            <w14:solidFill>
              <w14:schemeClr w14:val="tx1"/>
            </w14:solidFill>
          </w14:textFill>
        </w:rPr>
        <w:t>元的签协议奖励；根据协议按时完成搬迁并交出被征收房屋钥匙及房屋手续的，再按被征收房屋合法面积给予</w:t>
      </w:r>
      <w:r>
        <w:rPr>
          <w:rFonts w:hint="eastAsia" w:ascii="仿宋_GB2312" w:hAnsi="仿宋_GB2312" w:eastAsia="仿宋_GB2312" w:cs="仿宋_GB2312"/>
          <w:b/>
          <w:color w:val="000000" w:themeColor="text1"/>
          <w:sz w:val="32"/>
          <w:szCs w:val="32"/>
          <w:u w:val="single"/>
          <w14:textFill>
            <w14:solidFill>
              <w14:schemeClr w14:val="tx1"/>
            </w14:solidFill>
          </w14:textFill>
        </w:rPr>
        <w:t>50</w:t>
      </w:r>
      <w:r>
        <w:rPr>
          <w:rFonts w:hint="eastAsia" w:ascii="仿宋_GB2312" w:hAnsi="仿宋_GB2312" w:eastAsia="仿宋_GB2312" w:cs="仿宋_GB2312"/>
          <w:b/>
          <w:color w:val="000000" w:themeColor="text1"/>
          <w:sz w:val="32"/>
          <w:szCs w:val="32"/>
          <w14:textFill>
            <w14:solidFill>
              <w14:schemeClr w14:val="tx1"/>
            </w14:solidFill>
          </w14:textFill>
        </w:rPr>
        <w:t>元/㎡的搬迁奖励。</w:t>
      </w:r>
    </w:p>
    <w:p>
      <w:pPr>
        <w:keepNext w:val="0"/>
        <w:keepLines w:val="0"/>
        <w:pageBreakBefore w:val="0"/>
        <w:widowControl/>
        <w:kinsoku/>
        <w:wordWrap/>
        <w:overflowPunct/>
        <w:topLinePunct w:val="0"/>
        <w:autoSpaceDE/>
        <w:autoSpaceDN/>
        <w:bidi w:val="0"/>
        <w:spacing w:beforeAutospacing="0" w:after="0" w:afterAutospacing="0" w:line="579" w:lineRule="exact"/>
        <w:ind w:right="0" w:firstLine="642"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（二）第</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6-10</w:t>
      </w:r>
      <w:r>
        <w:rPr>
          <w:rFonts w:hint="eastAsia" w:ascii="仿宋_GB2312" w:hAnsi="仿宋_GB2312" w:eastAsia="仿宋_GB2312" w:cs="仿宋_GB2312"/>
          <w:b/>
          <w:color w:val="000000" w:themeColor="text1"/>
          <w:sz w:val="32"/>
          <w:szCs w:val="32"/>
          <w14:textFill>
            <w14:solidFill>
              <w14:schemeClr w14:val="tx1"/>
            </w14:solidFill>
          </w14:textFill>
        </w:rPr>
        <w:t>天签订协议的，每户给予</w:t>
      </w:r>
      <w:r>
        <w:rPr>
          <w:rFonts w:hint="eastAsia" w:ascii="仿宋_GB2312" w:hAnsi="仿宋_GB2312" w:eastAsia="仿宋_GB2312" w:cs="仿宋_GB2312"/>
          <w:b/>
          <w:strike w:val="0"/>
          <w:dstrike w:val="0"/>
          <w:color w:val="000000" w:themeColor="text1"/>
          <w:sz w:val="32"/>
          <w:szCs w:val="32"/>
          <w:u w:val="single"/>
          <w14:textFill>
            <w14:solidFill>
              <w14:schemeClr w14:val="tx1"/>
            </w14:solidFill>
          </w14:textFill>
        </w:rPr>
        <w:t>5000</w:t>
      </w:r>
      <w:r>
        <w:rPr>
          <w:rFonts w:hint="eastAsia" w:ascii="仿宋_GB2312" w:hAnsi="仿宋_GB2312" w:eastAsia="仿宋_GB2312" w:cs="仿宋_GB2312"/>
          <w:b/>
          <w:color w:val="000000" w:themeColor="text1"/>
          <w:sz w:val="32"/>
          <w:szCs w:val="32"/>
          <w14:textFill>
            <w14:solidFill>
              <w14:schemeClr w14:val="tx1"/>
            </w14:solidFill>
          </w14:textFill>
        </w:rPr>
        <w:t>元的签协议奖励；根据协议按时完成搬迁并交出被征收房屋钥匙及房屋手续的，再按被征收房屋合法面积给予</w:t>
      </w:r>
      <w:r>
        <w:rPr>
          <w:rFonts w:hint="eastAsia" w:ascii="仿宋_GB2312" w:hAnsi="仿宋_GB2312" w:eastAsia="仿宋_GB2312" w:cs="仿宋_GB2312"/>
          <w:b/>
          <w:color w:val="000000" w:themeColor="text1"/>
          <w:sz w:val="32"/>
          <w:szCs w:val="32"/>
          <w:u w:val="single"/>
          <w14:textFill>
            <w14:solidFill>
              <w14:schemeClr w14:val="tx1"/>
            </w14:solidFill>
          </w14:textFill>
        </w:rPr>
        <w:t>25</w:t>
      </w:r>
      <w:r>
        <w:rPr>
          <w:rFonts w:hint="eastAsia" w:ascii="仿宋_GB2312" w:hAnsi="仿宋_GB2312" w:eastAsia="仿宋_GB2312" w:cs="仿宋_GB2312"/>
          <w:b/>
          <w:color w:val="000000" w:themeColor="text1"/>
          <w:sz w:val="32"/>
          <w:szCs w:val="32"/>
          <w14:textFill>
            <w14:solidFill>
              <w14:schemeClr w14:val="tx1"/>
            </w14:solidFill>
          </w14:textFill>
        </w:rPr>
        <w:t>元/㎡的搬迁奖励。</w:t>
      </w:r>
    </w:p>
    <w:p>
      <w:pPr>
        <w:keepNext w:val="0"/>
        <w:keepLines w:val="0"/>
        <w:pageBreakBefore w:val="0"/>
        <w:widowControl/>
        <w:kinsoku/>
        <w:wordWrap/>
        <w:overflowPunct/>
        <w:topLinePunct w:val="0"/>
        <w:autoSpaceDE/>
        <w:autoSpaceDN/>
        <w:bidi w:val="0"/>
        <w:spacing w:beforeAutospacing="0" w:after="0" w:afterAutospacing="0" w:line="579" w:lineRule="exact"/>
        <w:ind w:right="0" w:firstLine="642"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（三）第</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11-15</w:t>
      </w:r>
      <w:r>
        <w:rPr>
          <w:rFonts w:hint="eastAsia" w:ascii="仿宋_GB2312" w:hAnsi="仿宋_GB2312" w:eastAsia="仿宋_GB2312" w:cs="仿宋_GB2312"/>
          <w:b/>
          <w:color w:val="000000" w:themeColor="text1"/>
          <w:sz w:val="32"/>
          <w:szCs w:val="32"/>
          <w14:textFill>
            <w14:solidFill>
              <w14:schemeClr w14:val="tx1"/>
            </w14:solidFill>
          </w14:textFill>
        </w:rPr>
        <w:t>天签订协议的，每户给予</w:t>
      </w:r>
      <w:r>
        <w:rPr>
          <w:rFonts w:hint="eastAsia" w:ascii="仿宋_GB2312" w:hAnsi="仿宋_GB2312" w:eastAsia="仿宋_GB2312" w:cs="仿宋_GB2312"/>
          <w:b/>
          <w:color w:val="000000" w:themeColor="text1"/>
          <w:sz w:val="32"/>
          <w:szCs w:val="32"/>
          <w:u w:val="single"/>
          <w:lang w:val="en-US" w:eastAsia="zh-CN"/>
          <w14:textFill>
            <w14:solidFill>
              <w14:schemeClr w14:val="tx1"/>
            </w14:solidFill>
          </w14:textFill>
        </w:rPr>
        <w:t>30</w:t>
      </w:r>
      <w:r>
        <w:rPr>
          <w:rFonts w:hint="eastAsia" w:ascii="仿宋_GB2312" w:hAnsi="仿宋_GB2312" w:eastAsia="仿宋_GB2312" w:cs="仿宋_GB2312"/>
          <w:b/>
          <w:color w:val="000000" w:themeColor="text1"/>
          <w:sz w:val="32"/>
          <w:szCs w:val="32"/>
          <w:u w:val="single"/>
          <w14:textFill>
            <w14:solidFill>
              <w14:schemeClr w14:val="tx1"/>
            </w14:solidFill>
          </w14:textFill>
        </w:rPr>
        <w:t>00</w:t>
      </w:r>
      <w:r>
        <w:rPr>
          <w:rFonts w:hint="eastAsia" w:ascii="仿宋_GB2312" w:hAnsi="仿宋_GB2312" w:eastAsia="仿宋_GB2312" w:cs="仿宋_GB2312"/>
          <w:b/>
          <w:color w:val="000000" w:themeColor="text1"/>
          <w:sz w:val="32"/>
          <w:szCs w:val="32"/>
          <w14:textFill>
            <w14:solidFill>
              <w14:schemeClr w14:val="tx1"/>
            </w14:solidFill>
          </w14:textFill>
        </w:rPr>
        <w:t>元的签协议奖励；根据协议按时完成搬迁并交出被征收房屋钥匙及房屋手续的，再按被征收房屋合法面积给予</w:t>
      </w:r>
      <w:r>
        <w:rPr>
          <w:rFonts w:hint="eastAsia" w:ascii="仿宋_GB2312" w:hAnsi="仿宋_GB2312" w:eastAsia="仿宋_GB2312" w:cs="仿宋_GB2312"/>
          <w:b/>
          <w:color w:val="000000" w:themeColor="text1"/>
          <w:sz w:val="32"/>
          <w:szCs w:val="32"/>
          <w:u w:val="single"/>
          <w14:textFill>
            <w14:solidFill>
              <w14:schemeClr w14:val="tx1"/>
            </w14:solidFill>
          </w14:textFill>
        </w:rPr>
        <w:t>10</w:t>
      </w:r>
      <w:r>
        <w:rPr>
          <w:rFonts w:hint="eastAsia" w:ascii="仿宋_GB2312" w:hAnsi="仿宋_GB2312" w:eastAsia="仿宋_GB2312" w:cs="仿宋_GB2312"/>
          <w:b/>
          <w:color w:val="000000" w:themeColor="text1"/>
          <w:sz w:val="32"/>
          <w:szCs w:val="32"/>
          <w14:textFill>
            <w14:solidFill>
              <w14:schemeClr w14:val="tx1"/>
            </w14:solidFill>
          </w14:textFill>
        </w:rPr>
        <w:t>元/㎡的搬迁奖励。</w:t>
      </w:r>
    </w:p>
    <w:p>
      <w:pPr>
        <w:keepNext w:val="0"/>
        <w:keepLines w:val="0"/>
        <w:pageBreakBefore w:val="0"/>
        <w:widowControl/>
        <w:kinsoku/>
        <w:wordWrap/>
        <w:overflowPunct/>
        <w:topLinePunct w:val="0"/>
        <w:autoSpaceDE/>
        <w:autoSpaceDN/>
        <w:bidi w:val="0"/>
        <w:spacing w:beforeAutospacing="0" w:after="0" w:afterAutospacing="0" w:line="579" w:lineRule="exact"/>
        <w:ind w:right="0" w:firstLine="642"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(四)</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b/>
          <w:color w:val="000000" w:themeColor="text1"/>
          <w:sz w:val="32"/>
          <w:szCs w:val="32"/>
          <w14:textFill>
            <w14:solidFill>
              <w14:schemeClr w14:val="tx1"/>
            </w14:solidFill>
          </w14:textFill>
        </w:rPr>
        <w:t>天以后签协议的不再进行奖励。</w:t>
      </w:r>
    </w:p>
    <w:p>
      <w:pPr>
        <w:keepNext w:val="0"/>
        <w:keepLines w:val="0"/>
        <w:pageBreakBefore w:val="0"/>
        <w:widowControl/>
        <w:kinsoku/>
        <w:wordWrap/>
        <w:overflowPunct/>
        <w:topLinePunct w:val="0"/>
        <w:autoSpaceDE/>
        <w:autoSpaceDN/>
        <w:bidi w:val="0"/>
        <w:spacing w:beforeAutospacing="0" w:after="0" w:afterAutospacing="0" w:line="579" w:lineRule="exact"/>
        <w:ind w:right="0" w:firstLine="642" w:firstLineChars="200"/>
        <w:textAlignment w:val="auto"/>
        <w:outlineLvl w:val="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color w:val="000000" w:themeColor="text1"/>
          <w:sz w:val="32"/>
          <w:szCs w:val="32"/>
          <w14:textFill>
            <w14:solidFill>
              <w14:schemeClr w14:val="tx1"/>
            </w14:solidFill>
          </w14:textFill>
        </w:rPr>
        <w:t>、有下列情形之一者取消一切奖励</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（一）凡是在规定期限内未搬迁或进入司法诉讼程序的。</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（二）奖励期限内签订改造征收补偿安置协议，但未按时搬迁或搬迁完成后不交接被征收房屋钥匙及房屋手续的。</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（三）启动房屋强制征收程序的。</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四、奖金领取办法</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所得奖金在按时完成搬迁、交出腾空被征收房屋钥匙及房屋手续后领取。</w:t>
      </w:r>
    </w:p>
    <w:p>
      <w:pPr>
        <w:keepNext w:val="0"/>
        <w:keepLines w:val="0"/>
        <w:pageBreakBefore w:val="0"/>
        <w:widowControl/>
        <w:kinsoku/>
        <w:wordWrap/>
        <w:overflowPunct/>
        <w:topLinePunct w:val="0"/>
        <w:autoSpaceDE/>
        <w:autoSpaceDN/>
        <w:bidi w:val="0"/>
        <w:spacing w:beforeAutospacing="0" w:after="0" w:afterAutospacing="0" w:line="579" w:lineRule="exact"/>
        <w:ind w:left="0" w:leftChars="0" w:right="0" w:rightChars="0" w:firstLine="0" w:firstLineChars="0"/>
        <w:jc w:val="center"/>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第七章</w:t>
      </w:r>
      <w:r>
        <w:rPr>
          <w:rFonts w:hint="eastAsia" w:ascii="Times New Roman" w:hAnsi="Times New Roman" w:eastAsia="黑体" w:cs="Times New Roman"/>
          <w:b w:val="0"/>
          <w:bCs w:val="0"/>
          <w:color w:val="000000" w:themeColor="text1"/>
          <w:sz w:val="32"/>
          <w:szCs w:val="32"/>
          <w:lang w:eastAsia="zh-CN"/>
          <w14:textFill>
            <w14:solidFill>
              <w14:schemeClr w14:val="tx1"/>
            </w14:solidFill>
          </w14:textFill>
        </w:rPr>
        <w:t>　</w:t>
      </w:r>
      <w:r>
        <w:rPr>
          <w:rFonts w:hint="default" w:ascii="Times New Roman" w:hAnsi="Times New Roman" w:eastAsia="黑体" w:cs="Times New Roman"/>
          <w:b w:val="0"/>
          <w:bCs w:val="0"/>
          <w:color w:val="000000" w:themeColor="text1"/>
          <w:sz w:val="32"/>
          <w:szCs w:val="32"/>
          <w14:textFill>
            <w14:solidFill>
              <w14:schemeClr w14:val="tx1"/>
            </w14:solidFill>
          </w14:textFill>
        </w:rPr>
        <w:t>罚则与救济</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第三十四条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对选择原地安置住宅的被征收人，家庭成员中有重大残疾的，经审核确认属实并配合工作的，同等条件下可优先选择安置房。</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第三十五条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对于拒不执行人民法院判决、裁定的，可以采取下列强制方法：</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（一）根据《中华人民共和国行政诉讼法》第九十五条规定，由项目实施单位向第一审人民法院申请强制执行。</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（二）情节严重影响恶劣的，根据《中华人民共和国刑事诉讼法》规定，由公安机关依法追究其拒不执行判决、裁定罪的刑事责任。</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第三十六条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下列情形，由公安机关予以行政处罚直至追究刑事责任：</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（一）采取自焚、自残、自杀方式，以及对征收工作人员进行侮辱、殴打、威胁，妨碍依法征收的；</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（二）在家存放易燃、易爆、剧毒、腐蚀、放射性物质的；</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（三）饲养烈性犬、大型犬妨碍征收的；</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（四）制造谣言、散播虚假信息的；</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（五）煽动、组织、策划违法信访或集会游行的；</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（六）采取伪造或者虚构手段骗取征收补偿款的；</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（七）其他违法方式对抗依法征收的。</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第三十七条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签订的征收协议生效后拒不搬迁的，视为自愿放弃室内物品，交回所取得的全部奖励和补助，取消优先选择安置房资格，并赔偿整个征收区域因被征收人拒不搬迁所增加的过渡费损失，实施单位可以委托拆迁公司直接拆除。</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第三十八条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在征收协议签订前，被征收房屋存在以下情形的，被征收人应当如实向实施单位报告，由实施单位依据相关法律法规处理：</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（一）被抵押；（二）已出租；（三）被查封；（四）权属有争议；（五）出售后尚未办理转移登记手续；（六）继承或遗赠纠纷；（七）其他情形。</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逾期不报告的，自行承担不利的法律后果；虚构事实骗取补偿的，按照诈骗行为依法追究其法律责任。</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第三十九条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被征收人对县人民政府作出的征收决定、补偿决定等具体行政行为不服的，可以依法申请行政复议，也可以依法提起行政诉讼。</w:t>
      </w:r>
    </w:p>
    <w:p>
      <w:pPr>
        <w:keepNext w:val="0"/>
        <w:keepLines w:val="0"/>
        <w:pageBreakBefore w:val="0"/>
        <w:widowControl/>
        <w:kinsoku/>
        <w:wordWrap/>
        <w:overflowPunct/>
        <w:topLinePunct w:val="0"/>
        <w:autoSpaceDE/>
        <w:autoSpaceDN/>
        <w:bidi w:val="0"/>
        <w:spacing w:beforeAutospacing="0" w:after="0" w:afterAutospacing="0" w:line="579" w:lineRule="exact"/>
        <w:ind w:left="0" w:leftChars="0" w:right="0" w:rightChars="0" w:firstLine="0" w:firstLineChars="0"/>
        <w:jc w:val="center"/>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eastAsia" w:ascii="Times New Roman" w:hAnsi="Times New Roman" w:eastAsia="黑体" w:cs="Times New Roman"/>
          <w:b w:val="0"/>
          <w:bCs w:val="0"/>
          <w:color w:val="000000" w:themeColor="text1"/>
          <w:sz w:val="32"/>
          <w:szCs w:val="32"/>
          <w:lang w:eastAsia="zh-CN"/>
          <w14:textFill>
            <w14:solidFill>
              <w14:schemeClr w14:val="tx1"/>
            </w14:solidFill>
          </w14:textFill>
        </w:rPr>
        <w:t>第</w:t>
      </w:r>
      <w:r>
        <w:rPr>
          <w:rFonts w:hint="default" w:ascii="Times New Roman" w:hAnsi="Times New Roman" w:eastAsia="黑体" w:cs="Times New Roman"/>
          <w:b w:val="0"/>
          <w:bCs w:val="0"/>
          <w:color w:val="000000" w:themeColor="text1"/>
          <w:sz w:val="32"/>
          <w:szCs w:val="32"/>
          <w14:textFill>
            <w14:solidFill>
              <w14:schemeClr w14:val="tx1"/>
            </w14:solidFill>
          </w14:textFill>
        </w:rPr>
        <w:t>八</w:t>
      </w:r>
      <w:r>
        <w:rPr>
          <w:rFonts w:hint="eastAsia" w:ascii="Times New Roman" w:hAnsi="Times New Roman" w:eastAsia="黑体" w:cs="Times New Roman"/>
          <w:b w:val="0"/>
          <w:bCs w:val="0"/>
          <w:color w:val="000000" w:themeColor="text1"/>
          <w:sz w:val="32"/>
          <w:szCs w:val="32"/>
          <w:lang w:eastAsia="zh-CN"/>
          <w14:textFill>
            <w14:solidFill>
              <w14:schemeClr w14:val="tx1"/>
            </w14:solidFill>
          </w14:textFill>
        </w:rPr>
        <w:t>章　</w:t>
      </w:r>
      <w:r>
        <w:rPr>
          <w:rFonts w:hint="default" w:ascii="Times New Roman" w:hAnsi="Times New Roman" w:eastAsia="黑体" w:cs="Times New Roman"/>
          <w:b w:val="0"/>
          <w:bCs w:val="0"/>
          <w:color w:val="000000" w:themeColor="text1"/>
          <w:sz w:val="32"/>
          <w:szCs w:val="32"/>
          <w14:textFill>
            <w14:solidFill>
              <w14:schemeClr w14:val="tx1"/>
            </w14:solidFill>
          </w14:textFill>
        </w:rPr>
        <w:t>附　则</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第四十条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签订的征收协议一式三份，具有同等法律效力。</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第四十一条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评估报告、征收决定、补偿决定、责令限期拆除决定、强制拆除决定和执行裁定等法律文书可以采取直接送达、委托送达、公证（见证）留置送达、邮寄送达或公示公告送达等方式送达。</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第四十二条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在征收过程中，被征收人应当加强安全防范措施，防止水、电、煤气等安全事故发生，妥善保管身份证、户口本、结婚证、宅基地使用权证、准建证和房屋权属证书等办理相关手续的重要证件和资料。委托他人代为办理的，应当办理授权委托手续，避免上当受骗。</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2"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第四十三条</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本方案解释权归封丘县房屋征收办公室，未尽事宜，经征收办报县人民政府研究批复。</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p>
    <w:p>
      <w:pPr>
        <w:keepNext w:val="0"/>
        <w:keepLines w:val="0"/>
        <w:pageBreakBefore w:val="0"/>
        <w:widowControl/>
        <w:kinsoku/>
        <w:wordWrap/>
        <w:overflowPunct/>
        <w:topLinePunct w:val="0"/>
        <w:autoSpaceDE/>
        <w:autoSpaceDN/>
        <w:bidi w:val="0"/>
        <w:spacing w:beforeAutospacing="0" w:after="0" w:afterAutospacing="0" w:line="579" w:lineRule="exact"/>
        <w:ind w:right="0" w:firstLine="640" w:firstLineChars="200"/>
        <w:jc w:val="both"/>
        <w:textAlignment w:val="auto"/>
        <w:rPr>
          <w:rFonts w:hint="default" w:ascii="Times New Roman" w:hAnsi="Times New Roman" w:eastAsia="仿宋" w:cs="Times New Roman"/>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spacing w:beforeAutospacing="0" w:after="0" w:afterAutospacing="0" w:line="579" w:lineRule="exact"/>
        <w:ind w:right="0" w:firstLine="640" w:firstLineChars="200"/>
        <w:jc w:val="both"/>
        <w:textAlignment w:val="auto"/>
        <w:rPr>
          <w:rFonts w:hint="default" w:ascii="Times New Roman" w:hAnsi="Times New Roman" w:eastAsia="仿宋" w:cs="Times New Roman"/>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beforeAutospacing="0" w:after="0" w:afterAutospacing="0" w:line="579" w:lineRule="exact"/>
        <w:ind w:right="0" w:firstLine="640" w:firstLineChars="200"/>
        <w:jc w:val="right"/>
        <w:textAlignment w:val="auto"/>
        <w:rPr>
          <w:rFonts w:hint="default" w:ascii="Times New Roman" w:hAnsi="Times New Roman" w:eastAsia="仿宋"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32"/>
          <w:szCs w:val="32"/>
          <w:shd w:val="clear" w:color="auto" w:fill="auto"/>
          <w:lang w:val="en-US" w:eastAsia="zh-CN"/>
          <w14:textFill>
            <w14:solidFill>
              <w14:schemeClr w14:val="tx1"/>
            </w14:solidFill>
          </w14:textFill>
        </w:rPr>
        <w:t>封丘县</w:t>
      </w:r>
      <w:r>
        <w:rPr>
          <w:rFonts w:hint="eastAsia" w:ascii="Times New Roman" w:hAnsi="Times New Roman" w:eastAsia="仿宋" w:cs="Times New Roman"/>
          <w:b w:val="0"/>
          <w:bCs w:val="0"/>
          <w:color w:val="000000" w:themeColor="text1"/>
          <w:sz w:val="32"/>
          <w:szCs w:val="32"/>
          <w:shd w:val="clear" w:color="auto" w:fill="auto"/>
          <w:lang w:val="en-US" w:eastAsia="zh-CN"/>
          <w14:textFill>
            <w14:solidFill>
              <w14:schemeClr w14:val="tx1"/>
            </w14:solidFill>
          </w14:textFill>
        </w:rPr>
        <w:t>人民政府</w:t>
      </w:r>
      <w:r>
        <w:rPr>
          <w:rFonts w:hint="default" w:ascii="Times New Roman" w:hAnsi="Times New Roman" w:eastAsia="仿宋" w:cs="Times New Roman"/>
          <w:b w:val="0"/>
          <w:bCs w:val="0"/>
          <w:color w:val="000000" w:themeColor="text1"/>
          <w:sz w:val="32"/>
          <w:szCs w:val="32"/>
          <w:shd w:val="clear" w:color="auto" w:fill="auto"/>
          <w:lang w:val="en-US" w:eastAsia="zh-CN"/>
          <w14:textFill>
            <w14:solidFill>
              <w14:schemeClr w14:val="tx1"/>
            </w14:solidFill>
          </w14:textFill>
        </w:rPr>
        <w:t>房屋征收办公室</w:t>
      </w:r>
    </w:p>
    <w:p>
      <w:pPr>
        <w:keepNext w:val="0"/>
        <w:keepLines w:val="0"/>
        <w:pageBreakBefore w:val="0"/>
        <w:widowControl/>
        <w:kinsoku/>
        <w:wordWrap w:val="0"/>
        <w:overflowPunct/>
        <w:topLinePunct w:val="0"/>
        <w:autoSpaceDE/>
        <w:autoSpaceDN/>
        <w:bidi w:val="0"/>
        <w:adjustRightInd w:val="0"/>
        <w:snapToGrid w:val="0"/>
        <w:spacing w:beforeAutospacing="0" w:after="0" w:afterAutospacing="0" w:line="579" w:lineRule="exact"/>
        <w:ind w:right="0" w:firstLine="640" w:firstLineChars="200"/>
        <w:jc w:val="right"/>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val="0"/>
          <w:bCs w:val="0"/>
          <w:color w:val="000000" w:themeColor="text1"/>
          <w:sz w:val="32"/>
          <w:szCs w:val="32"/>
          <w:shd w:val="clear" w:color="auto" w:fill="auto"/>
          <w:lang w:val="en-US" w:eastAsia="zh-CN"/>
          <w14:textFill>
            <w14:solidFill>
              <w14:schemeClr w14:val="tx1"/>
            </w14:solidFill>
          </w14:textFill>
        </w:rPr>
        <w:t>2025年1月1</w:t>
      </w:r>
      <w:r>
        <w:rPr>
          <w:rFonts w:hint="eastAsia" w:ascii="Times New Roman" w:hAnsi="Times New Roman" w:eastAsia="仿宋" w:cs="Times New Roman"/>
          <w:b w:val="0"/>
          <w:bCs w:val="0"/>
          <w:color w:val="000000" w:themeColor="text1"/>
          <w:sz w:val="32"/>
          <w:szCs w:val="32"/>
          <w:shd w:val="clear" w:color="auto" w:fill="auto"/>
          <w:lang w:val="en-US" w:eastAsia="zh-CN"/>
          <w14:textFill>
            <w14:solidFill>
              <w14:schemeClr w14:val="tx1"/>
            </w14:solidFill>
          </w14:textFill>
        </w:rPr>
        <w:t>3</w:t>
      </w:r>
      <w:bookmarkStart w:id="0" w:name="_GoBack"/>
      <w:bookmarkEnd w:id="0"/>
      <w:r>
        <w:rPr>
          <w:rFonts w:hint="default" w:ascii="Times New Roman" w:hAnsi="Times New Roman" w:eastAsia="仿宋" w:cs="Times New Roman"/>
          <w:b w:val="0"/>
          <w:bCs w:val="0"/>
          <w:color w:val="000000" w:themeColor="text1"/>
          <w:sz w:val="32"/>
          <w:szCs w:val="32"/>
          <w:shd w:val="clear" w:color="auto" w:fill="auto"/>
          <w:lang w:val="en-US" w:eastAsia="zh-CN"/>
          <w14:textFill>
            <w14:solidFill>
              <w14:schemeClr w14:val="tx1"/>
            </w14:solidFill>
          </w14:textFill>
        </w:rPr>
        <w:t>日</w:t>
      </w:r>
      <w:r>
        <w:rPr>
          <w:rFonts w:hint="eastAsia" w:ascii="Times New Roman" w:hAnsi="Times New Roman" w:eastAsia="仿宋" w:cs="Times New Roman"/>
          <w:b w:val="0"/>
          <w:bCs w:val="0"/>
          <w:color w:val="000000" w:themeColor="text1"/>
          <w:sz w:val="32"/>
          <w:szCs w:val="32"/>
          <w:shd w:val="clear" w:color="auto" w:fill="auto"/>
          <w:lang w:val="en-US" w:eastAsia="zh-CN"/>
          <w14:textFill>
            <w14:solidFill>
              <w14:schemeClr w14:val="tx1"/>
            </w14:solidFill>
          </w14:textFill>
        </w:rPr>
        <w:t>　　　</w:t>
      </w:r>
    </w:p>
    <w:sectPr>
      <w:footerReference r:id="rId4" w:type="default"/>
      <w:pgSz w:w="11906" w:h="16838"/>
      <w:pgMar w:top="2098" w:right="1474" w:bottom="1984" w:left="1587" w:header="851" w:footer="130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微软雅黑">
    <w:altName w:val="黑体"/>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Noto Sans CJK HK">
    <w:panose1 w:val="020B05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95325" cy="341630"/>
              <wp:effectExtent l="0" t="0" r="0" b="0"/>
              <wp:wrapNone/>
              <wp:docPr id="1" name="文本框 2"/>
              <wp:cNvGraphicFramePr/>
              <a:graphic xmlns:a="http://schemas.openxmlformats.org/drawingml/2006/main">
                <a:graphicData uri="http://schemas.microsoft.com/office/word/2010/wordprocessingShape">
                  <wps:wsp>
                    <wps:cNvSpPr/>
                    <wps:spPr>
                      <a:xfrm>
                        <a:off x="0" y="0"/>
                        <a:ext cx="695197" cy="341782"/>
                      </a:xfrm>
                      <a:prstGeom prst="rect">
                        <a:avLst/>
                      </a:prstGeom>
                      <a:noFill/>
                      <a:ln w="6350" cap="flat" cmpd="sng">
                        <a:noFill/>
                        <a:prstDash val="solid"/>
                        <a:round/>
                      </a:ln>
                    </wps:spPr>
                    <wps:txbx>
                      <w:txbxContent>
                        <w:p>
                          <w:pPr>
                            <w:pStyle w:val="6"/>
                            <w:rPr>
                              <w:rFonts w:eastAsia="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rPr>
                              <w:rFonts w:hint="eastAsia" w:ascii="宋体" w:hAnsi="宋体" w:eastAsia="宋体" w:cs="宋体"/>
                              <w:sz w:val="28"/>
                            </w:rPr>
                            <w:t>1</w:t>
                          </w:r>
                          <w:r>
                            <w:rPr>
                              <w:rFonts w:hint="eastAsia" w:ascii="宋体" w:hAnsi="宋体" w:eastAsia="宋体" w:cs="宋体"/>
                              <w:sz w:val="28"/>
                            </w:rPr>
                            <w:fldChar w:fldCharType="end"/>
                          </w:r>
                          <w:r>
                            <w:rPr>
                              <w:rFonts w:hint="eastAsia" w:ascii="宋体" w:hAnsi="宋体" w:eastAsia="宋体" w:cs="宋体"/>
                              <w:sz w:val="28"/>
                            </w:rPr>
                            <w:t xml:space="preserve"> —</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6.9pt;width:54.75pt;mso-position-horizontal:outside;mso-position-horizontal-relative:margin;mso-wrap-style:none;z-index:251659264;mso-width-relative:page;mso-height-relative:page;" filled="f" stroked="f" coordsize="21600,21600" o:gfxdata="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">
              <v:fill on="f" focussize="0,0"/>
              <v:stroke on="f" weight="0.5pt" joinstyle="round"/>
              <v:imagedata o:title=""/>
              <o:lock v:ext="edit" aspectratio="f"/>
              <v:textbox inset="0mm,0mm,0mm,0mm" style="mso-fit-shape-to-text:t;">
                <w:txbxContent>
                  <w:p>
                    <w:pPr>
                      <w:pStyle w:val="6"/>
                      <w:rPr>
                        <w:rFonts w:eastAsia="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rPr>
                        <w:rFonts w:hint="eastAsia" w:ascii="宋体" w:hAnsi="宋体" w:eastAsia="宋体" w:cs="宋体"/>
                        <w:sz w:val="28"/>
                      </w:rPr>
                      <w:t>1</w:t>
                    </w:r>
                    <w:r>
                      <w:rPr>
                        <w:rFonts w:hint="eastAsia" w:ascii="宋体" w:hAnsi="宋体" w:eastAsia="宋体" w:cs="宋体"/>
                        <w:sz w:val="28"/>
                      </w:rPr>
                      <w:fldChar w:fldCharType="end"/>
                    </w:r>
                    <w:r>
                      <w:rPr>
                        <w:rFonts w:hint="eastAsia" w:ascii="宋体" w:hAnsi="宋体" w:eastAsia="宋体" w:cs="宋体"/>
                        <w:sz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TkwZWMzY2Y0YmQwOGM0MjRiNzYyMTVkNDMwMTk4N2QifQ=="/>
  </w:docVars>
  <w:rsids>
    <w:rsidRoot w:val="00000000"/>
    <w:rsid w:val="04960E34"/>
    <w:rsid w:val="06180A6D"/>
    <w:rsid w:val="15C751F3"/>
    <w:rsid w:val="19C413BA"/>
    <w:rsid w:val="1CAD3DF2"/>
    <w:rsid w:val="1DFC0B43"/>
    <w:rsid w:val="21592EC3"/>
    <w:rsid w:val="22561B08"/>
    <w:rsid w:val="299A6F8A"/>
    <w:rsid w:val="2A796777"/>
    <w:rsid w:val="2C47211C"/>
    <w:rsid w:val="2DE1093D"/>
    <w:rsid w:val="2FF93197"/>
    <w:rsid w:val="33B77665"/>
    <w:rsid w:val="401334E7"/>
    <w:rsid w:val="42FC09F2"/>
    <w:rsid w:val="4E2F56DA"/>
    <w:rsid w:val="4F1F1C48"/>
    <w:rsid w:val="52A82DFE"/>
    <w:rsid w:val="53544752"/>
    <w:rsid w:val="53A67989"/>
    <w:rsid w:val="56B5245E"/>
    <w:rsid w:val="56FE41B4"/>
    <w:rsid w:val="59C5195A"/>
    <w:rsid w:val="5F403953"/>
    <w:rsid w:val="65F42665"/>
    <w:rsid w:val="67294D7D"/>
    <w:rsid w:val="67F03E76"/>
    <w:rsid w:val="6B8E5493"/>
    <w:rsid w:val="70D47034"/>
    <w:rsid w:val="7170495D"/>
    <w:rsid w:val="72E23EA8"/>
    <w:rsid w:val="73144BF9"/>
    <w:rsid w:val="7B9E61DE"/>
    <w:rsid w:val="7FC30E56"/>
    <w:rsid w:val="9FDB80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Arial"/>
      <w:sz w:val="2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adjustRightInd w:val="0"/>
      <w:snapToGrid w:val="0"/>
      <w:jc w:val="left"/>
    </w:pPr>
    <w:rPr>
      <w:sz w:val="18"/>
    </w:rPr>
  </w:style>
  <w:style w:type="paragraph" w:styleId="7">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adjustRightInd w:val="0"/>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5"/>
    <w:qFormat/>
    <w:uiPriority w:val="0"/>
    <w:pPr>
      <w:spacing w:after="0" w:line="300" w:lineRule="auto"/>
    </w:pPr>
    <w:rPr>
      <w:rFonts w:ascii="Times New Roman" w:hAnsi="Times New Roman" w:eastAsia="宋体"/>
      <w:sz w:val="24"/>
      <w:lang w:val="zh-CN" w:eastAsia="zh-CN"/>
    </w:rPr>
  </w:style>
  <w:style w:type="character" w:styleId="12">
    <w:name w:val="Strong"/>
    <w:basedOn w:val="11"/>
    <w:qFormat/>
    <w:uiPriority w:val="0"/>
    <w:rPr>
      <w:b/>
      <w:sz w:val="24"/>
      <w:szCs w:val="24"/>
    </w:rPr>
  </w:style>
  <w:style w:type="character" w:styleId="13">
    <w:name w:val="page number"/>
    <w:basedOn w:val="11"/>
    <w:qFormat/>
    <w:uiPriority w:val="0"/>
  </w:style>
  <w:style w:type="character" w:styleId="14">
    <w:name w:val="FollowedHyperlink"/>
    <w:basedOn w:val="11"/>
    <w:qFormat/>
    <w:uiPriority w:val="0"/>
    <w:rPr>
      <w:color w:val="551A8B"/>
      <w:u w:val="single"/>
    </w:rPr>
  </w:style>
  <w:style w:type="character" w:styleId="15">
    <w:name w:val="Emphasis"/>
    <w:basedOn w:val="11"/>
    <w:qFormat/>
    <w:uiPriority w:val="0"/>
    <w:rPr>
      <w:color w:val="D73130"/>
      <w:sz w:val="24"/>
      <w:szCs w:val="24"/>
    </w:rPr>
  </w:style>
  <w:style w:type="character" w:styleId="16">
    <w:name w:val="Hyperlink"/>
    <w:basedOn w:val="11"/>
    <w:qFormat/>
    <w:uiPriority w:val="0"/>
    <w:rPr>
      <w:color w:val="2438CF"/>
      <w:u w:val="single"/>
    </w:rPr>
  </w:style>
  <w:style w:type="character" w:styleId="17">
    <w:name w:val="HTML Cite"/>
    <w:basedOn w:val="11"/>
    <w:qFormat/>
    <w:uiPriority w:val="0"/>
    <w:rPr>
      <w:sz w:val="24"/>
      <w:szCs w:val="24"/>
    </w:rPr>
  </w:style>
  <w:style w:type="paragraph" w:customStyle="1" w:styleId="18">
    <w:name w:val="List Paragraph"/>
    <w:basedOn w:val="1"/>
    <w:qFormat/>
    <w:uiPriority w:val="0"/>
    <w:pPr>
      <w:ind w:left="0" w:right="0" w:firstLine="420"/>
    </w:pPr>
  </w:style>
  <w:style w:type="character" w:customStyle="1" w:styleId="19">
    <w:name w:val="post_wemedia_info1"/>
    <w:basedOn w:val="11"/>
    <w:qFormat/>
    <w:uiPriority w:val="0"/>
  </w:style>
  <w:style w:type="character" w:customStyle="1" w:styleId="20">
    <w:name w:val="before"/>
    <w:basedOn w:val="11"/>
    <w:qFormat/>
    <w:uiPriority w:val="0"/>
  </w:style>
  <w:style w:type="character" w:customStyle="1" w:styleId="21">
    <w:name w:val="before1"/>
    <w:basedOn w:val="11"/>
    <w:qFormat/>
    <w:uiPriority w:val="0"/>
  </w:style>
  <w:style w:type="character" w:customStyle="1" w:styleId="22">
    <w:name w:val="type_eol0m"/>
    <w:basedOn w:val="11"/>
    <w:qFormat/>
    <w:uiPriority w:val="0"/>
    <w:rPr>
      <w:color w:val="999999"/>
    </w:rPr>
  </w:style>
  <w:style w:type="character" w:customStyle="1" w:styleId="23">
    <w:name w:val="first-child"/>
    <w:basedOn w:val="11"/>
    <w:qFormat/>
    <w:uiPriority w:val="0"/>
  </w:style>
  <w:style w:type="character" w:customStyle="1" w:styleId="24">
    <w:name w:val="first-child1"/>
    <w:basedOn w:val="11"/>
    <w:qFormat/>
    <w:uiPriority w:val="0"/>
  </w:style>
  <w:style w:type="character" w:customStyle="1" w:styleId="25">
    <w:name w:val="desc_hgtbl"/>
    <w:basedOn w:val="11"/>
    <w:qFormat/>
    <w:uiPriority w:val="0"/>
    <w:rPr>
      <w:color w:val="333333"/>
    </w:rPr>
  </w:style>
  <w:style w:type="character" w:customStyle="1" w:styleId="26">
    <w:name w:val="apple-converted-space"/>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14</Pages>
  <Words>5937</Words>
  <Characters>6014</Characters>
  <Lines>0</Lines>
  <Paragraphs>141</Paragraphs>
  <TotalTime>18</TotalTime>
  <ScaleCrop>false</ScaleCrop>
  <LinksUpToDate>false</LinksUpToDate>
  <CharactersWithSpaces>6165</CharactersWithSpaces>
  <Application>WPS Office_11.8.2.11625_F1E327BC-269C-435d-A152-05C5408002CA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2023-02-20T15:38:00Z</dcterms:created>
  <dc:creator>记得</dc:creator>
  <cp:lastModifiedBy>administrator</cp:lastModifiedBy>
  <cp:lastPrinted>2025-01-10T08:46:00Z</cp:lastPrinted>
  <dcterms:modified xsi:type="dcterms:W3CDTF">2025-01-13T17:37:33Z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AF09D47B154A4819AEEBE6DCF61FEA8D_13</vt:lpwstr>
  </property>
  <property fmtid="{D5CDD505-2E9C-101B-9397-08002B2CF9AE}" pid="4" name="KSOTemplateDocerSaveRecord">
    <vt:lpwstr>eyJoZGlkIjoiOWRiNzRkZGE3ZmZiMTg5OWExMzIyMTAyOTRlMTU0YzciLCJ1c2VySWQiOiIxMTQyMzI3ODcyIn0=</vt:lpwstr>
  </property>
</Properties>
</file>