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spacing w:line="579" w:lineRule="exact"/>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附件3：</w:t>
      </w:r>
    </w:p>
    <w:p>
      <w:pPr>
        <w:keepNext w:val="0"/>
        <w:keepLines w:val="0"/>
        <w:pageBreakBefore w:val="0"/>
        <w:numPr>
          <w:ilvl w:val="0"/>
          <w:numId w:val="0"/>
        </w:numPr>
        <w:kinsoku/>
        <w:wordWrap/>
        <w:overflowPunct/>
        <w:topLinePunct w:val="0"/>
        <w:autoSpaceDE/>
        <w:autoSpaceDN/>
        <w:bidi w:val="0"/>
        <w:spacing w:line="579" w:lineRule="exact"/>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lang w:val="en-US" w:eastAsia="zh-CN"/>
        </w:rPr>
        <w:t>城乡居民医保（</w:t>
      </w:r>
      <w:r>
        <w:rPr>
          <w:rFonts w:hint="eastAsia" w:ascii="宋体" w:hAnsi="宋体" w:eastAsia="宋体" w:cs="宋体"/>
          <w:b/>
          <w:bCs/>
          <w:color w:val="auto"/>
          <w:sz w:val="44"/>
          <w:szCs w:val="44"/>
        </w:rPr>
        <w:t>原城镇居民参保</w:t>
      </w:r>
      <w:r>
        <w:rPr>
          <w:rFonts w:hint="eastAsia" w:ascii="宋体" w:hAnsi="宋体" w:eastAsia="宋体" w:cs="宋体"/>
          <w:b/>
          <w:bCs/>
          <w:color w:val="auto"/>
          <w:sz w:val="44"/>
          <w:szCs w:val="44"/>
          <w:lang w:eastAsia="zh-CN"/>
        </w:rPr>
        <w:t>）</w:t>
      </w:r>
      <w:r>
        <w:rPr>
          <w:rFonts w:hint="eastAsia" w:ascii="宋体" w:hAnsi="宋体" w:eastAsia="宋体" w:cs="宋体"/>
          <w:b/>
          <w:bCs/>
          <w:color w:val="auto"/>
          <w:sz w:val="44"/>
          <w:szCs w:val="44"/>
        </w:rPr>
        <w:t>缴费流程</w:t>
      </w:r>
    </w:p>
    <w:p>
      <w:pPr>
        <w:keepNext w:val="0"/>
        <w:keepLines w:val="0"/>
        <w:pageBreakBefore w:val="0"/>
        <w:numPr>
          <w:ilvl w:val="0"/>
          <w:numId w:val="0"/>
        </w:numPr>
        <w:kinsoku/>
        <w:wordWrap/>
        <w:overflowPunct/>
        <w:topLinePunct w:val="0"/>
        <w:autoSpaceDE/>
        <w:autoSpaceDN/>
        <w:bidi w:val="0"/>
        <w:spacing w:line="579" w:lineRule="exact"/>
        <w:jc w:val="center"/>
        <w:rPr>
          <w:rFonts w:hint="eastAsia" w:ascii="仿宋_GB2312" w:hAnsi="仿宋_GB2312" w:eastAsia="仿宋_GB2312" w:cs="仿宋_GB2312"/>
          <w:color w:val="auto"/>
          <w:sz w:val="32"/>
          <w:szCs w:val="32"/>
          <w:lang w:val="en-US" w:eastAsia="zh-CN"/>
        </w:rPr>
      </w:pPr>
    </w:p>
    <w:tbl>
      <w:tblPr>
        <w:tblStyle w:val="3"/>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88" w:type="dxa"/>
            <w:noWrap w:val="0"/>
            <w:vAlign w:val="center"/>
          </w:tcPr>
          <w:p>
            <w:pPr>
              <w:pStyle w:val="2"/>
              <w:keepNext w:val="0"/>
              <w:keepLines w:val="0"/>
              <w:pageBreakBefore w:val="0"/>
              <w:widowControl/>
              <w:shd w:val="clear" w:color="020000" w:fill="FFFFFF"/>
              <w:kinsoku/>
              <w:wordWrap/>
              <w:overflowPunct/>
              <w:topLinePunct w:val="0"/>
              <w:autoSpaceDE/>
              <w:autoSpaceDN/>
              <w:bidi w:val="0"/>
              <w:spacing w:before="0" w:beforeAutospacing="0" w:after="0" w:afterAutospacing="0" w:line="579" w:lineRule="exact"/>
              <w:ind w:right="0"/>
              <w:jc w:val="left"/>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四家定点机构（人民医院、中医院、妇幼保健院、公疗医院）在参保征收期组织参保缴费及参保人员信息采集，参保缴费需要携带手续：医保本、户口本和身份证</w:t>
            </w:r>
          </w:p>
        </w:tc>
      </w:tr>
    </w:tbl>
    <w:p>
      <w:pPr>
        <w:keepNext w:val="0"/>
        <w:keepLines w:val="0"/>
        <w:pageBreakBefore w:val="0"/>
        <w:kinsoku/>
        <w:wordWrap/>
        <w:overflowPunct/>
        <w:topLinePunct w:val="0"/>
        <w:autoSpaceDE/>
        <w:autoSpaceDN/>
        <w:bidi w:val="0"/>
        <w:spacing w:line="579" w:lineRule="exact"/>
        <w:ind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3"/>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88" w:type="dxa"/>
            <w:noWrap w:val="0"/>
            <w:vAlign w:val="center"/>
          </w:tcPr>
          <w:p>
            <w:pPr>
              <w:pStyle w:val="2"/>
              <w:keepNext w:val="0"/>
              <w:keepLines w:val="0"/>
              <w:pageBreakBefore w:val="0"/>
              <w:widowControl/>
              <w:shd w:val="clear" w:color="020000" w:fill="FFFFFF"/>
              <w:kinsoku/>
              <w:wordWrap/>
              <w:overflowPunct/>
              <w:topLinePunct w:val="0"/>
              <w:autoSpaceDE/>
              <w:autoSpaceDN/>
              <w:bidi w:val="0"/>
              <w:spacing w:before="0" w:beforeAutospacing="0" w:after="0" w:afterAutospacing="0" w:line="579" w:lineRule="exact"/>
              <w:ind w:right="0"/>
              <w:jc w:val="left"/>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定点医疗机构进行登记并录入信息并以家庭为单位开具收据（收据注明每名家庭成员姓名、身份证号）</w:t>
            </w:r>
          </w:p>
        </w:tc>
      </w:tr>
    </w:tbl>
    <w:p>
      <w:pPr>
        <w:keepNext w:val="0"/>
        <w:keepLines w:val="0"/>
        <w:pageBreakBefore w:val="0"/>
        <w:kinsoku/>
        <w:wordWrap/>
        <w:overflowPunct/>
        <w:topLinePunct w:val="0"/>
        <w:autoSpaceDE/>
        <w:autoSpaceDN/>
        <w:bidi w:val="0"/>
        <w:spacing w:line="579" w:lineRule="exact"/>
        <w:ind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3"/>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88" w:type="dxa"/>
            <w:noWrap w:val="0"/>
            <w:vAlign w:val="center"/>
          </w:tcPr>
          <w:p>
            <w:pPr>
              <w:pStyle w:val="2"/>
              <w:keepNext w:val="0"/>
              <w:keepLines w:val="0"/>
              <w:pageBreakBefore w:val="0"/>
              <w:widowControl/>
              <w:shd w:val="clear" w:color="020000" w:fill="FFFFFF"/>
              <w:kinsoku/>
              <w:wordWrap/>
              <w:overflowPunct/>
              <w:topLinePunct w:val="0"/>
              <w:autoSpaceDE/>
              <w:autoSpaceDN/>
              <w:bidi w:val="0"/>
              <w:spacing w:before="0" w:beforeAutospacing="0" w:after="0" w:afterAutospacing="0" w:line="579" w:lineRule="exact"/>
              <w:ind w:right="0"/>
              <w:jc w:val="center"/>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定点医疗机构带参保信息和信用联社存款票据到医保中心生成流水单号后上报至税务部门</w:t>
            </w:r>
          </w:p>
        </w:tc>
      </w:tr>
    </w:tbl>
    <w:p>
      <w:pPr>
        <w:keepNext w:val="0"/>
        <w:keepLines w:val="0"/>
        <w:pageBreakBefore w:val="0"/>
        <w:kinsoku/>
        <w:wordWrap/>
        <w:overflowPunct/>
        <w:topLinePunct w:val="0"/>
        <w:autoSpaceDE/>
        <w:autoSpaceDN/>
        <w:bidi w:val="0"/>
        <w:spacing w:line="579" w:lineRule="exact"/>
        <w:ind w:firstLine="3840" w:firstLineChars="1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w:t>
      </w:r>
    </w:p>
    <w:tbl>
      <w:tblPr>
        <w:tblStyle w:val="3"/>
        <w:tblW w:w="5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88" w:type="dxa"/>
            <w:noWrap w:val="0"/>
            <w:vAlign w:val="center"/>
          </w:tcPr>
          <w:p>
            <w:pPr>
              <w:pStyle w:val="2"/>
              <w:keepNext w:val="0"/>
              <w:keepLines w:val="0"/>
              <w:pageBreakBefore w:val="0"/>
              <w:widowControl/>
              <w:shd w:val="clear" w:color="020000" w:fill="FFFFFF"/>
              <w:kinsoku/>
              <w:wordWrap/>
              <w:overflowPunct/>
              <w:topLinePunct w:val="0"/>
              <w:autoSpaceDE/>
              <w:autoSpaceDN/>
              <w:bidi w:val="0"/>
              <w:spacing w:before="0" w:beforeAutospacing="0" w:after="0" w:afterAutospacing="0" w:line="579" w:lineRule="exact"/>
              <w:ind w:right="0"/>
              <w:jc w:val="center"/>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县税务局根据征缴金额和参保信息及时入库</w:t>
            </w:r>
          </w:p>
        </w:tc>
      </w:tr>
    </w:tbl>
    <w:p>
      <w:pPr>
        <w:keepNext w:val="0"/>
        <w:keepLines w:val="0"/>
        <w:pageBreakBefore w:val="0"/>
        <w:kinsoku/>
        <w:wordWrap/>
        <w:overflowPunct/>
        <w:topLinePunct w:val="0"/>
        <w:autoSpaceDE/>
        <w:autoSpaceDN/>
        <w:bidi w:val="0"/>
        <w:spacing w:line="579" w:lineRule="exact"/>
        <w:rPr>
          <w:rFonts w:hint="eastAsia" w:ascii="仿宋_GB2312" w:hAnsi="仿宋_GB2312" w:eastAsia="仿宋_GB2312" w:cs="仿宋_GB2312"/>
          <w:b w:val="0"/>
          <w:bCs w:val="0"/>
          <w:color w:val="auto"/>
          <w:sz w:val="32"/>
          <w:szCs w:val="32"/>
        </w:rPr>
      </w:pP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14C2A"/>
    <w:rsid w:val="0EB1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jc w:val="both"/>
      <w:textAlignment w:val="baseline"/>
    </w:pPr>
    <w:rPr>
      <w:rFonts w:ascii="Times New Roman" w:hAnsi="Times New Roman" w:eastAsia="仿宋_GB2312" w:cs="Times New Roman"/>
      <w:color w:val="000000"/>
      <w:sz w:val="31"/>
      <w:u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ind w:left="0" w:right="0"/>
      <w:jc w:val="left"/>
    </w:pPr>
    <w:rPr>
      <w:rFonts w:hint="eastAsia" w:ascii="宋体" w:hAnsi="宋体" w:eastAsia="宋体" w:cs="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2019-11-29T08:02:00Z</dcterms:created>
  <dc:creator>信息专机</dc:creator>
  <cp:lastModifiedBy>信息专机</cp:lastModifiedBy>
  <dcterms:modified xsi:type="dcterms:W3CDTF">2019-11-29T08:02:45Z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