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both"/>
        <w:rPr>
          <w:rFonts w:ascii="仿宋_GB2312" w:hAnsi="仿宋" w:eastAsia="仿宋_GB2312"/>
          <w:sz w:val="32"/>
          <w:szCs w:val="32"/>
        </w:rPr>
      </w:pPr>
      <w:r>
        <w:rPr>
          <w:rFonts w:hint="eastAsia" w:ascii="黑体" w:hAnsi="黑体" w:eastAsia="黑体" w:cs="黑体"/>
          <w:sz w:val="32"/>
          <w:szCs w:val="32"/>
        </w:rPr>
        <w:t>附件2</w:t>
      </w:r>
    </w:p>
    <w:p>
      <w:pPr>
        <w:spacing w:line="579" w:lineRule="exact"/>
        <w:ind w:firstLine="642" w:firstLineChars="200"/>
        <w:jc w:val="both"/>
        <w:rPr>
          <w:rFonts w:ascii="仿宋_GB2312" w:eastAsia="仿宋_GB2312" w:hAnsiTheme="majorEastAsia"/>
          <w:b/>
          <w:color w:val="000000"/>
          <w:sz w:val="32"/>
          <w:szCs w:val="32"/>
        </w:rPr>
      </w:pPr>
    </w:p>
    <w:p>
      <w:pPr>
        <w:spacing w:line="579" w:lineRule="exact"/>
        <w:jc w:val="center"/>
        <w:rPr>
          <w:rFonts w:ascii="方正小标宋简体" w:hAnsi="方正小标宋简体" w:eastAsia="方正小标宋简体" w:cs="方正小标宋简体"/>
          <w:bCs/>
          <w:color w:val="000000"/>
          <w:sz w:val="44"/>
          <w:szCs w:val="44"/>
        </w:rPr>
      </w:pPr>
      <w:bookmarkStart w:id="0" w:name="_GoBack"/>
      <w:r>
        <w:rPr>
          <w:rFonts w:hint="eastAsia" w:ascii="方正小标宋简体" w:hAnsi="方正小标宋简体" w:eastAsia="方正小标宋简体" w:cs="方正小标宋简体"/>
          <w:bCs/>
          <w:color w:val="000000"/>
          <w:sz w:val="44"/>
          <w:szCs w:val="44"/>
        </w:rPr>
        <w:t>封丘县秸秆收贮利用奖补验收考核办法</w:t>
      </w:r>
    </w:p>
    <w:bookmarkEnd w:id="0"/>
    <w:p>
      <w:pPr>
        <w:spacing w:line="579" w:lineRule="exact"/>
        <w:jc w:val="both"/>
        <w:rPr>
          <w:rFonts w:ascii="仿宋_GB2312" w:eastAsia="仿宋_GB2312" w:hAnsiTheme="majorEastAsia"/>
          <w:b/>
          <w:color w:val="000000"/>
          <w:sz w:val="32"/>
          <w:szCs w:val="32"/>
        </w:rPr>
      </w:pPr>
    </w:p>
    <w:p>
      <w:pPr>
        <w:spacing w:line="579" w:lineRule="exact"/>
        <w:ind w:firstLine="640" w:firstLineChars="200"/>
        <w:jc w:val="both"/>
        <w:rPr>
          <w:rFonts w:ascii="黑体" w:hAnsi="黑体" w:eastAsia="黑体" w:cs="黑体"/>
          <w:color w:val="000000"/>
          <w:sz w:val="32"/>
          <w:szCs w:val="32"/>
        </w:rPr>
      </w:pPr>
      <w:r>
        <w:rPr>
          <w:rFonts w:hint="eastAsia" w:ascii="黑体" w:hAnsi="黑体" w:eastAsia="黑体" w:cs="黑体"/>
          <w:color w:val="000000"/>
          <w:sz w:val="32"/>
          <w:szCs w:val="32"/>
        </w:rPr>
        <w:t>一、考核兑付程序</w:t>
      </w:r>
    </w:p>
    <w:p>
      <w:pPr>
        <w:spacing w:line="579" w:lineRule="exact"/>
        <w:ind w:firstLine="640" w:firstLineChars="200"/>
        <w:jc w:val="both"/>
        <w:rPr>
          <w:rFonts w:ascii="仿宋_GB2312" w:hAnsi="仿宋" w:eastAsia="仿宋_GB2312"/>
          <w:color w:val="000000"/>
          <w:sz w:val="32"/>
          <w:szCs w:val="32"/>
        </w:rPr>
      </w:pPr>
      <w:r>
        <w:rPr>
          <w:rFonts w:hint="eastAsia" w:ascii="仿宋_GB2312" w:hAnsi="仿宋" w:eastAsia="仿宋_GB2312"/>
          <w:color w:val="000000"/>
          <w:sz w:val="32"/>
          <w:szCs w:val="32"/>
        </w:rPr>
        <w:t>由收贮点 (秸秆收贮或加工利用企业、站点、农机合作社等)提出书面申请，报县农业农村局。根据收贮点提供的资料，由第三方进行现场核查并审核相关资料，农业农村局进行督查。考核结果在政府门户网站上公示无疑异后，拨付财政补贴资金。</w:t>
      </w:r>
    </w:p>
    <w:p>
      <w:pPr>
        <w:spacing w:line="579" w:lineRule="exact"/>
        <w:ind w:firstLine="640" w:firstLineChars="200"/>
        <w:jc w:val="both"/>
        <w:rPr>
          <w:rFonts w:ascii="黑体" w:hAnsi="黑体" w:eastAsia="黑体" w:cs="黑体"/>
          <w:color w:val="000000"/>
          <w:sz w:val="32"/>
          <w:szCs w:val="32"/>
        </w:rPr>
      </w:pPr>
      <w:r>
        <w:rPr>
          <w:rFonts w:hint="eastAsia" w:ascii="黑体" w:hAnsi="黑体" w:eastAsia="黑体" w:cs="黑体"/>
          <w:color w:val="000000"/>
          <w:sz w:val="32"/>
          <w:szCs w:val="32"/>
        </w:rPr>
        <w:t>二、考核要求</w:t>
      </w:r>
    </w:p>
    <w:p>
      <w:pPr>
        <w:spacing w:line="579" w:lineRule="exact"/>
        <w:ind w:firstLine="642" w:firstLineChars="200"/>
        <w:jc w:val="both"/>
        <w:rPr>
          <w:rFonts w:ascii="楷体" w:hAnsi="楷体" w:eastAsia="楷体" w:cs="楷体"/>
          <w:b/>
          <w:bCs/>
          <w:sz w:val="32"/>
          <w:szCs w:val="32"/>
        </w:rPr>
      </w:pPr>
      <w:r>
        <w:rPr>
          <w:rFonts w:hint="eastAsia" w:ascii="楷体" w:hAnsi="楷体" w:eastAsia="楷体" w:cs="楷体"/>
          <w:b/>
          <w:bCs/>
          <w:sz w:val="32"/>
          <w:szCs w:val="32"/>
        </w:rPr>
        <w:t>(一)对新建收贮点建设补助的考核</w:t>
      </w:r>
    </w:p>
    <w:p>
      <w:pPr>
        <w:spacing w:line="579" w:lineRule="exact"/>
        <w:ind w:firstLine="642" w:firstLineChars="200"/>
        <w:jc w:val="both"/>
        <w:rPr>
          <w:rFonts w:ascii="仿宋_GB2312" w:hAnsi="仿宋" w:eastAsia="仿宋_GB2312"/>
          <w:sz w:val="32"/>
          <w:szCs w:val="32"/>
        </w:rPr>
      </w:pPr>
      <w:r>
        <w:rPr>
          <w:rFonts w:hint="eastAsia" w:ascii="仿宋_GB2312" w:hAnsi="仿宋" w:eastAsia="仿宋_GB2312"/>
          <w:b/>
          <w:bCs/>
          <w:color w:val="000000"/>
          <w:sz w:val="32"/>
          <w:szCs w:val="32"/>
        </w:rPr>
        <w:t>1.考核奖补标准条件：</w:t>
      </w:r>
      <w:r>
        <w:rPr>
          <w:rFonts w:hint="eastAsia" w:ascii="仿宋_GB2312" w:hAnsi="仿宋" w:eastAsia="仿宋_GB2312"/>
          <w:color w:val="000000"/>
          <w:sz w:val="32"/>
          <w:szCs w:val="32"/>
        </w:rPr>
        <w:t>新建收贮点以秸秆收贮为主，年收贮量达2000吨（麦秸秆至少800吨）以上（凭销售正式发票和银行流水），收贮点占地面积25亩以上，固定资产投资总额不少于50万元，且正常运营，验收合格，每个一次性补助不超25万元。</w:t>
      </w:r>
      <w:r>
        <w:rPr>
          <w:rFonts w:hint="eastAsia" w:ascii="仿宋_GB2312" w:hAnsi="仿宋" w:eastAsia="仿宋_GB2312"/>
          <w:sz w:val="32"/>
          <w:szCs w:val="32"/>
        </w:rPr>
        <w:t>此项总奖补资金控制在500万元内。</w:t>
      </w:r>
    </w:p>
    <w:p>
      <w:pPr>
        <w:spacing w:line="579" w:lineRule="exact"/>
        <w:ind w:firstLine="642" w:firstLineChars="200"/>
        <w:jc w:val="both"/>
        <w:rPr>
          <w:rFonts w:ascii="仿宋_GB2312" w:hAnsi="仿宋" w:eastAsia="仿宋_GB2312"/>
          <w:b/>
          <w:bCs/>
          <w:color w:val="000000"/>
          <w:sz w:val="32"/>
          <w:szCs w:val="32"/>
        </w:rPr>
      </w:pPr>
      <w:r>
        <w:rPr>
          <w:rFonts w:hint="eastAsia" w:ascii="仿宋_GB2312" w:hAnsi="仿宋" w:eastAsia="仿宋_GB2312"/>
          <w:b/>
          <w:bCs/>
          <w:color w:val="000000"/>
          <w:sz w:val="32"/>
          <w:szCs w:val="32"/>
        </w:rPr>
        <w:t>2.考核时需提供的材料：</w:t>
      </w:r>
    </w:p>
    <w:p>
      <w:pPr>
        <w:spacing w:line="579" w:lineRule="exact"/>
        <w:ind w:firstLine="640" w:firstLineChars="200"/>
        <w:jc w:val="both"/>
        <w:rPr>
          <w:rFonts w:ascii="仿宋_GB2312" w:hAnsi="仿宋" w:eastAsia="仿宋_GB2312"/>
          <w:color w:val="000000"/>
          <w:sz w:val="32"/>
          <w:szCs w:val="32"/>
        </w:rPr>
      </w:pPr>
      <w:r>
        <w:rPr>
          <w:rFonts w:hint="eastAsia" w:ascii="仿宋_GB2312" w:hAnsi="仿宋" w:eastAsia="仿宋_GB2312"/>
          <w:color w:val="000000"/>
          <w:sz w:val="32"/>
          <w:szCs w:val="32"/>
        </w:rPr>
        <w:t>(1)收贮点建设实施方案、实施总结、用地手续。</w:t>
      </w:r>
    </w:p>
    <w:p>
      <w:pPr>
        <w:spacing w:line="579" w:lineRule="exact"/>
        <w:ind w:firstLine="640" w:firstLineChars="200"/>
        <w:jc w:val="both"/>
        <w:rPr>
          <w:rFonts w:ascii="仿宋_GB2312" w:hAnsi="仿宋" w:eastAsia="仿宋_GB2312"/>
          <w:color w:val="000000"/>
          <w:sz w:val="32"/>
          <w:szCs w:val="32"/>
        </w:rPr>
      </w:pPr>
      <w:r>
        <w:rPr>
          <w:rFonts w:hint="eastAsia" w:ascii="仿宋_GB2312" w:hAnsi="仿宋" w:eastAsia="仿宋_GB2312"/>
          <w:color w:val="000000"/>
          <w:sz w:val="32"/>
          <w:szCs w:val="32"/>
        </w:rPr>
        <w:t>(2)设备购置发票及协议，土建工程施工合同、工程决算、工程造价第三方审计（农业农村局认可），会计核算的凭证帐册等。</w:t>
      </w:r>
    </w:p>
    <w:p>
      <w:pPr>
        <w:spacing w:line="579" w:lineRule="exact"/>
        <w:ind w:firstLine="640" w:firstLineChars="200"/>
        <w:jc w:val="both"/>
        <w:rPr>
          <w:rFonts w:ascii="仿宋_GB2312" w:hAnsi="仿宋" w:eastAsia="仿宋_GB2312"/>
          <w:color w:val="000000"/>
          <w:sz w:val="32"/>
          <w:szCs w:val="32"/>
        </w:rPr>
      </w:pPr>
      <w:r>
        <w:rPr>
          <w:rFonts w:hint="eastAsia" w:ascii="仿宋_GB2312" w:hAnsi="仿宋" w:eastAsia="仿宋_GB2312"/>
          <w:color w:val="000000"/>
          <w:sz w:val="32"/>
          <w:szCs w:val="32"/>
        </w:rPr>
        <w:t>(3)收贮点平面布置图。</w:t>
      </w:r>
    </w:p>
    <w:p>
      <w:pPr>
        <w:spacing w:line="579" w:lineRule="exact"/>
        <w:ind w:firstLine="640" w:firstLineChars="200"/>
        <w:jc w:val="both"/>
        <w:rPr>
          <w:rFonts w:ascii="仿宋_GB2312" w:hAnsi="仿宋" w:eastAsia="仿宋_GB2312"/>
          <w:color w:val="000000"/>
          <w:sz w:val="32"/>
          <w:szCs w:val="32"/>
        </w:rPr>
      </w:pPr>
      <w:r>
        <w:rPr>
          <w:rFonts w:hint="eastAsia" w:ascii="仿宋_GB2312" w:hAnsi="仿宋" w:eastAsia="仿宋_GB2312"/>
          <w:color w:val="000000"/>
          <w:sz w:val="32"/>
          <w:szCs w:val="32"/>
        </w:rPr>
        <w:t>(4)秸秆销售正式发票和银行流水等。</w:t>
      </w:r>
    </w:p>
    <w:p>
      <w:pPr>
        <w:spacing w:line="579" w:lineRule="exact"/>
        <w:ind w:firstLine="640" w:firstLineChars="200"/>
        <w:jc w:val="both"/>
        <w:rPr>
          <w:rFonts w:ascii="仿宋_GB2312" w:hAnsi="仿宋" w:eastAsia="仿宋_GB2312"/>
          <w:color w:val="000000"/>
          <w:sz w:val="32"/>
          <w:szCs w:val="32"/>
        </w:rPr>
      </w:pPr>
      <w:r>
        <w:rPr>
          <w:rFonts w:hint="eastAsia" w:ascii="仿宋_GB2312" w:hAnsi="仿宋" w:eastAsia="仿宋_GB2312"/>
          <w:color w:val="000000"/>
          <w:sz w:val="32"/>
          <w:szCs w:val="32"/>
        </w:rPr>
        <w:t>(5)秸秆收贮面积村级确认统计表（附后）。</w:t>
      </w:r>
    </w:p>
    <w:p>
      <w:pPr>
        <w:spacing w:line="579" w:lineRule="exact"/>
        <w:ind w:firstLine="640" w:firstLineChars="200"/>
        <w:jc w:val="both"/>
        <w:rPr>
          <w:rFonts w:ascii="仿宋_GB2312" w:hAnsi="仿宋" w:eastAsia="仿宋_GB2312"/>
          <w:color w:val="000000"/>
          <w:sz w:val="32"/>
          <w:szCs w:val="32"/>
        </w:rPr>
      </w:pPr>
      <w:r>
        <w:rPr>
          <w:rFonts w:hint="eastAsia" w:ascii="仿宋_GB2312" w:hAnsi="仿宋" w:eastAsia="仿宋_GB2312"/>
          <w:color w:val="000000"/>
          <w:sz w:val="32"/>
          <w:szCs w:val="32"/>
        </w:rPr>
        <w:t>(6)符合补助要求的具有法律效力的审计报告。</w:t>
      </w:r>
    </w:p>
    <w:p>
      <w:pPr>
        <w:spacing w:line="579" w:lineRule="exact"/>
        <w:ind w:firstLine="642" w:firstLineChars="200"/>
        <w:jc w:val="both"/>
        <w:rPr>
          <w:rFonts w:ascii="楷体" w:hAnsi="楷体" w:eastAsia="楷体" w:cs="楷体"/>
          <w:b/>
          <w:bCs/>
          <w:sz w:val="32"/>
          <w:szCs w:val="32"/>
        </w:rPr>
      </w:pPr>
      <w:r>
        <w:rPr>
          <w:rFonts w:hint="eastAsia" w:ascii="楷体" w:hAnsi="楷体" w:eastAsia="楷体" w:cs="楷体"/>
          <w:b/>
          <w:bCs/>
          <w:sz w:val="32"/>
          <w:szCs w:val="32"/>
        </w:rPr>
        <w:t>(二) 对原有收贮点的考核</w:t>
      </w:r>
    </w:p>
    <w:p>
      <w:pPr>
        <w:spacing w:line="579" w:lineRule="exact"/>
        <w:ind w:firstLine="642" w:firstLineChars="200"/>
        <w:jc w:val="both"/>
        <w:rPr>
          <w:rFonts w:ascii="仿宋_GB2312" w:hAnsi="仿宋" w:eastAsia="仿宋_GB2312"/>
          <w:color w:val="000000"/>
          <w:sz w:val="32"/>
          <w:szCs w:val="32"/>
        </w:rPr>
      </w:pPr>
      <w:r>
        <w:rPr>
          <w:rFonts w:hint="eastAsia" w:ascii="仿宋_GB2312" w:hAnsi="仿宋" w:eastAsia="仿宋_GB2312"/>
          <w:b/>
          <w:bCs/>
          <w:color w:val="000000"/>
          <w:sz w:val="32"/>
          <w:szCs w:val="32"/>
        </w:rPr>
        <w:t>1.考核奖补标准条件：</w:t>
      </w:r>
      <w:r>
        <w:rPr>
          <w:rFonts w:hint="eastAsia" w:ascii="仿宋_GB2312" w:hAnsi="仿宋" w:eastAsia="仿宋_GB2312"/>
          <w:color w:val="000000"/>
          <w:sz w:val="32"/>
          <w:szCs w:val="32"/>
        </w:rPr>
        <w:t>对年收贮麦秸秆量达1000吨以上的收贮点进行奖补。 验收合格收贮点平均分配50万元的奖补资金，单个收贮点奖补金额不超过20万元。</w:t>
      </w:r>
      <w:r>
        <w:rPr>
          <w:rFonts w:hint="eastAsia" w:ascii="仿宋_GB2312" w:hAnsi="仿宋" w:eastAsia="仿宋_GB2312"/>
          <w:sz w:val="32"/>
          <w:szCs w:val="32"/>
        </w:rPr>
        <w:t>此项总奖补资金控制在50万元内。</w:t>
      </w:r>
    </w:p>
    <w:p>
      <w:pPr>
        <w:spacing w:line="579" w:lineRule="exact"/>
        <w:ind w:firstLine="642" w:firstLineChars="200"/>
        <w:jc w:val="both"/>
        <w:rPr>
          <w:rFonts w:ascii="仿宋_GB2312" w:hAnsi="仿宋" w:eastAsia="仿宋_GB2312"/>
          <w:b/>
          <w:bCs/>
          <w:color w:val="000000"/>
          <w:sz w:val="32"/>
          <w:szCs w:val="32"/>
        </w:rPr>
      </w:pPr>
      <w:r>
        <w:rPr>
          <w:rFonts w:hint="eastAsia" w:ascii="仿宋_GB2312" w:hAnsi="仿宋" w:eastAsia="仿宋_GB2312"/>
          <w:b/>
          <w:bCs/>
          <w:color w:val="000000"/>
          <w:sz w:val="32"/>
          <w:szCs w:val="32"/>
        </w:rPr>
        <w:t>2.考核时需提供的材料：</w:t>
      </w:r>
    </w:p>
    <w:p>
      <w:pPr>
        <w:spacing w:line="579" w:lineRule="exact"/>
        <w:ind w:firstLine="640" w:firstLineChars="200"/>
        <w:jc w:val="both"/>
        <w:rPr>
          <w:rFonts w:ascii="仿宋_GB2312" w:hAnsi="仿宋" w:eastAsia="仿宋_GB2312"/>
          <w:color w:val="000000"/>
          <w:sz w:val="32"/>
          <w:szCs w:val="32"/>
        </w:rPr>
      </w:pPr>
      <w:r>
        <w:rPr>
          <w:rFonts w:hint="eastAsia" w:ascii="仿宋_GB2312" w:hAnsi="仿宋" w:eastAsia="仿宋_GB2312"/>
          <w:color w:val="000000"/>
          <w:sz w:val="32"/>
          <w:szCs w:val="32"/>
        </w:rPr>
        <w:t>(1)财务资料。包括银行日记账、现金日记账和秸秆购销明细账、销售正式发票、银行收付款凭证等。</w:t>
      </w:r>
    </w:p>
    <w:p>
      <w:pPr>
        <w:spacing w:line="579" w:lineRule="exact"/>
        <w:ind w:firstLine="640" w:firstLineChars="200"/>
        <w:jc w:val="both"/>
        <w:rPr>
          <w:rFonts w:ascii="仿宋_GB2312" w:hAnsi="仿宋" w:eastAsia="仿宋_GB2312"/>
          <w:color w:val="000000"/>
          <w:sz w:val="32"/>
          <w:szCs w:val="32"/>
        </w:rPr>
      </w:pPr>
      <w:r>
        <w:rPr>
          <w:rFonts w:hint="eastAsia" w:ascii="仿宋_GB2312" w:hAnsi="仿宋" w:eastAsia="仿宋_GB2312"/>
          <w:color w:val="000000"/>
          <w:sz w:val="32"/>
          <w:szCs w:val="32"/>
        </w:rPr>
        <w:t>(2)秸秆收购台帐。包括秸秆收购日期、过磅记录明细等（从田头收集秸秆后直接销售到秸秆利用单位的，可以提供对方出具过磅记录明细）。</w:t>
      </w:r>
    </w:p>
    <w:p>
      <w:pPr>
        <w:spacing w:line="579" w:lineRule="exact"/>
        <w:ind w:firstLine="640" w:firstLineChars="200"/>
        <w:jc w:val="both"/>
        <w:rPr>
          <w:rFonts w:ascii="仿宋_GB2312" w:hAnsi="仿宋" w:eastAsia="仿宋_GB2312"/>
          <w:color w:val="000000"/>
          <w:sz w:val="32"/>
          <w:szCs w:val="32"/>
        </w:rPr>
      </w:pPr>
      <w:r>
        <w:rPr>
          <w:rFonts w:hint="eastAsia" w:ascii="仿宋_GB2312" w:hAnsi="仿宋" w:eastAsia="仿宋_GB2312"/>
          <w:color w:val="000000"/>
          <w:sz w:val="32"/>
          <w:szCs w:val="32"/>
        </w:rPr>
        <w:t>(3)秸秆收贮面积村级确认统计表（附后）。</w:t>
      </w:r>
    </w:p>
    <w:p>
      <w:pPr>
        <w:spacing w:line="579" w:lineRule="exact"/>
        <w:ind w:firstLine="640" w:firstLineChars="200"/>
        <w:jc w:val="both"/>
        <w:rPr>
          <w:rFonts w:ascii="仿宋_GB2312" w:hAnsi="仿宋" w:eastAsia="仿宋_GB2312"/>
          <w:color w:val="000000"/>
          <w:sz w:val="32"/>
          <w:szCs w:val="32"/>
        </w:rPr>
      </w:pPr>
      <w:r>
        <w:rPr>
          <w:rFonts w:hint="eastAsia" w:ascii="仿宋_GB2312" w:hAnsi="仿宋" w:eastAsia="仿宋_GB2312"/>
          <w:color w:val="000000"/>
          <w:sz w:val="32"/>
          <w:szCs w:val="32"/>
        </w:rPr>
        <w:t>(4)符合补助要求的具有法律效力的审计报告。</w:t>
      </w:r>
    </w:p>
    <w:p>
      <w:pPr>
        <w:spacing w:line="579" w:lineRule="exact"/>
        <w:ind w:firstLine="642" w:firstLineChars="200"/>
        <w:jc w:val="both"/>
        <w:rPr>
          <w:rFonts w:ascii="楷体" w:hAnsi="楷体" w:eastAsia="楷体" w:cs="楷体"/>
          <w:b/>
          <w:bCs/>
          <w:sz w:val="32"/>
          <w:szCs w:val="32"/>
        </w:rPr>
      </w:pPr>
      <w:r>
        <w:rPr>
          <w:rFonts w:hint="eastAsia" w:ascii="楷体" w:hAnsi="楷体" w:eastAsia="楷体" w:cs="楷体"/>
          <w:b/>
          <w:bCs/>
          <w:sz w:val="32"/>
          <w:szCs w:val="32"/>
        </w:rPr>
        <w:t>(三)肥料化、饲料化、基料化奖补</w:t>
      </w:r>
    </w:p>
    <w:p>
      <w:pPr>
        <w:spacing w:line="579" w:lineRule="exact"/>
        <w:ind w:firstLine="642" w:firstLineChars="200"/>
        <w:jc w:val="both"/>
        <w:rPr>
          <w:rFonts w:ascii="仿宋_GB2312" w:hAnsi="仿宋" w:eastAsia="仿宋_GB2312"/>
          <w:sz w:val="32"/>
          <w:szCs w:val="32"/>
        </w:rPr>
      </w:pPr>
      <w:r>
        <w:rPr>
          <w:rFonts w:hint="eastAsia" w:ascii="仿宋_GB2312" w:hAnsi="仿宋" w:eastAsia="仿宋_GB2312"/>
          <w:b/>
          <w:bCs/>
          <w:color w:val="000000"/>
          <w:sz w:val="32"/>
          <w:szCs w:val="32"/>
        </w:rPr>
        <w:t>1.考核奖补标准条件：</w:t>
      </w:r>
      <w:r>
        <w:rPr>
          <w:rFonts w:hint="eastAsia" w:ascii="仿宋_GB2312" w:hAnsi="仿宋" w:eastAsia="仿宋_GB2312"/>
          <w:sz w:val="32"/>
          <w:szCs w:val="32"/>
        </w:rPr>
        <w:t>对企业利用秸秆生产有机肥的，按每利用1吨秸秆奖补100元标准对企业奖补；对企业利用秸秆生产加工为饲料的(玉米青储饲料除外)，按每利用1吨秸秆奖补100元标准对企业奖补；对企业利用秸秆基料化的，按每利用1吨秸秆奖补100元标准对企业奖补。</w:t>
      </w:r>
    </w:p>
    <w:p>
      <w:pPr>
        <w:spacing w:line="579"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肥料化、饲料化、基料化奖补金额拟228万元，当n个企业肥料化、饲料化、基料化利用秸秆总量未超过22800吨时，按实际利用秸秆量每吨奖补100元；当n个企业肥料化、饲料化、基料化利用秸秆总量超过22800吨时，按每个企业利用秸秆量占比分配228万元奖补资金（如共有A、B、C三个企业涉及此项目，A企业利用秸秆2万吨、B企业利用秸秆3万吨、C企业利用秸秆5万吨，则A企业分配奖补资金的20%，B分配奖补资金的30%，C分配50%）。</w:t>
      </w:r>
    </w:p>
    <w:p>
      <w:pPr>
        <w:spacing w:line="579" w:lineRule="exact"/>
        <w:ind w:firstLine="642" w:firstLineChars="200"/>
        <w:jc w:val="both"/>
        <w:rPr>
          <w:rFonts w:ascii="仿宋_GB2312" w:hAnsi="仿宋" w:eastAsia="仿宋_GB2312"/>
          <w:b/>
          <w:bCs/>
          <w:color w:val="000000"/>
          <w:sz w:val="32"/>
          <w:szCs w:val="32"/>
        </w:rPr>
      </w:pPr>
      <w:r>
        <w:rPr>
          <w:rFonts w:hint="eastAsia" w:ascii="仿宋_GB2312" w:hAnsi="仿宋" w:eastAsia="仿宋_GB2312"/>
          <w:b/>
          <w:bCs/>
          <w:color w:val="000000"/>
          <w:sz w:val="32"/>
          <w:szCs w:val="32"/>
        </w:rPr>
        <w:t>2.考核时需提供的材料：</w:t>
      </w:r>
    </w:p>
    <w:p>
      <w:pPr>
        <w:spacing w:line="579" w:lineRule="exact"/>
        <w:ind w:firstLine="640" w:firstLineChars="200"/>
        <w:jc w:val="both"/>
        <w:rPr>
          <w:rFonts w:ascii="仿宋_GB2312" w:hAnsi="仿宋" w:eastAsia="仿宋_GB2312"/>
          <w:color w:val="000000"/>
          <w:sz w:val="32"/>
          <w:szCs w:val="32"/>
        </w:rPr>
      </w:pPr>
      <w:r>
        <w:rPr>
          <w:rFonts w:hint="eastAsia" w:ascii="仿宋_GB2312" w:hAnsi="仿宋" w:eastAsia="仿宋_GB2312"/>
          <w:color w:val="000000"/>
          <w:sz w:val="32"/>
          <w:szCs w:val="32"/>
        </w:rPr>
        <w:t>(1)财务资料。包括银行日记账、现金日记账和秸秆购销加工明细账，肥料化、饲料化、基料化全年生产销售流水，产品销售正式发票、银行收付款凭证等。</w:t>
      </w:r>
    </w:p>
    <w:p>
      <w:pPr>
        <w:spacing w:line="579" w:lineRule="exact"/>
        <w:ind w:firstLine="640" w:firstLineChars="200"/>
        <w:jc w:val="both"/>
        <w:rPr>
          <w:rFonts w:ascii="仿宋_GB2312" w:hAnsi="仿宋" w:eastAsia="仿宋_GB2312"/>
          <w:color w:val="000000"/>
          <w:sz w:val="32"/>
          <w:szCs w:val="32"/>
        </w:rPr>
      </w:pPr>
      <w:r>
        <w:rPr>
          <w:rFonts w:hint="eastAsia" w:ascii="仿宋_GB2312" w:hAnsi="仿宋" w:eastAsia="仿宋_GB2312"/>
          <w:color w:val="000000"/>
          <w:sz w:val="32"/>
          <w:szCs w:val="32"/>
        </w:rPr>
        <w:t>(2)符合补助要求的具有法律效力的审计报告。</w:t>
      </w:r>
    </w:p>
    <w:p>
      <w:pPr>
        <w:spacing w:line="579" w:lineRule="exact"/>
        <w:ind w:firstLine="642" w:firstLineChars="200"/>
        <w:jc w:val="both"/>
        <w:rPr>
          <w:rFonts w:ascii="楷体" w:hAnsi="楷体" w:eastAsia="楷体" w:cs="楷体"/>
          <w:b/>
          <w:bCs/>
          <w:sz w:val="32"/>
          <w:szCs w:val="32"/>
        </w:rPr>
      </w:pPr>
      <w:r>
        <w:rPr>
          <w:rFonts w:hint="eastAsia" w:ascii="楷体" w:hAnsi="楷体" w:eastAsia="楷体" w:cs="楷体"/>
          <w:b/>
          <w:bCs/>
          <w:sz w:val="32"/>
          <w:szCs w:val="32"/>
        </w:rPr>
        <w:t>（四）购置秸秆综合利用机械的奖补</w:t>
      </w:r>
    </w:p>
    <w:p>
      <w:pPr>
        <w:spacing w:line="579"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计划购置</w:t>
      </w:r>
      <w:r>
        <w:rPr>
          <w:rFonts w:hint="eastAsia" w:ascii="仿宋_GB2312" w:hAnsi="仿宋" w:eastAsia="仿宋_GB2312"/>
          <w:color w:val="000000"/>
          <w:sz w:val="32"/>
          <w:szCs w:val="32"/>
        </w:rPr>
        <w:t>秸秆综合利用机械的，需先将拟购置机械的名称、型号、配置参数、生产厂家及市场价格以纸质表格向秸秆综合利用领导小组办公室报备。</w:t>
      </w:r>
      <w:r>
        <w:rPr>
          <w:rFonts w:hint="eastAsia" w:ascii="仿宋_GB2312" w:hAnsi="仿宋" w:eastAsia="仿宋_GB2312"/>
          <w:sz w:val="32"/>
          <w:szCs w:val="32"/>
        </w:rPr>
        <w:t>对购置的秸秆收贮机械（如打捆机、抓草机等）按不超购置价的50%进行奖补。总额控制在400万元以内，如果购置机械数量较多时，则按实际数量确定奖补比例。</w:t>
      </w:r>
    </w:p>
    <w:p>
      <w:pPr>
        <w:spacing w:line="579" w:lineRule="exact"/>
        <w:ind w:firstLine="640" w:firstLineChars="200"/>
        <w:jc w:val="both"/>
        <w:rPr>
          <w:rFonts w:ascii="黑体" w:hAnsi="黑体" w:eastAsia="黑体" w:cs="黑体"/>
          <w:color w:val="000000"/>
          <w:sz w:val="32"/>
          <w:szCs w:val="32"/>
        </w:rPr>
      </w:pPr>
      <w:r>
        <w:rPr>
          <w:rFonts w:hint="eastAsia" w:ascii="黑体" w:hAnsi="黑体" w:eastAsia="黑体" w:cs="黑体"/>
          <w:color w:val="000000"/>
          <w:sz w:val="32"/>
          <w:szCs w:val="32"/>
        </w:rPr>
        <w:t>三、奖补资金兑现</w:t>
      </w:r>
    </w:p>
    <w:p>
      <w:pPr>
        <w:spacing w:line="579" w:lineRule="exact"/>
        <w:ind w:firstLine="640" w:firstLineChars="200"/>
        <w:jc w:val="both"/>
        <w:rPr>
          <w:rFonts w:ascii="仿宋_GB2312" w:eastAsia="仿宋_GB2312"/>
          <w:color w:val="000000"/>
          <w:sz w:val="32"/>
          <w:szCs w:val="32"/>
        </w:rPr>
      </w:pPr>
      <w:r>
        <w:rPr>
          <w:rFonts w:hint="eastAsia" w:ascii="仿宋_GB2312" w:hAnsi="仿宋" w:eastAsia="仿宋_GB2312"/>
          <w:color w:val="000000"/>
          <w:sz w:val="32"/>
          <w:szCs w:val="32"/>
        </w:rPr>
        <w:t>奖补资金一个年度考核二次，考核合格兑付。</w:t>
      </w:r>
    </w:p>
    <w:p>
      <w:pPr>
        <w:spacing w:line="579"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对收贮加工利用外县(市、区)的秸秆一律不予奖补（从外地收的秸秆不计入奖补收贮量）；同一批秸秆只享受一次奖补；项目奖补机械不得重复享受农机购置补贴政策。</w:t>
      </w:r>
    </w:p>
    <w:p>
      <w:pPr>
        <w:spacing w:line="579"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各项结余资金可根据实际情况调剂使用。</w:t>
      </w:r>
    </w:p>
    <w:p>
      <w:pPr>
        <w:spacing w:line="579" w:lineRule="exact"/>
        <w:ind w:firstLine="640" w:firstLineChars="200"/>
        <w:jc w:val="both"/>
        <w:rPr>
          <w:rFonts w:ascii="仿宋_GB2312" w:hAnsi="仿宋" w:eastAsia="仿宋_GB2312"/>
          <w:color w:val="000000"/>
          <w:sz w:val="32"/>
          <w:szCs w:val="32"/>
        </w:rPr>
      </w:pPr>
      <w:r>
        <w:rPr>
          <w:rFonts w:hint="eastAsia" w:ascii="仿宋_GB2312" w:hAnsi="仿宋" w:eastAsia="仿宋_GB2312"/>
          <w:color w:val="000000"/>
          <w:sz w:val="32"/>
          <w:szCs w:val="32"/>
        </w:rPr>
        <w:t>本办法由封丘县秸秆综合利用工作领导小组负责解释。</w:t>
      </w:r>
    </w:p>
    <w:p>
      <w:pPr>
        <w:spacing w:line="579" w:lineRule="exact"/>
        <w:jc w:val="both"/>
        <w:rPr>
          <w:rFonts w:ascii="仿宋_GB2312" w:hAnsi="仿宋" w:eastAsia="仿宋_GB2312"/>
          <w:sz w:val="32"/>
          <w:szCs w:val="32"/>
        </w:rPr>
      </w:pPr>
    </w:p>
    <w:p>
      <w:pPr>
        <w:spacing w:line="579" w:lineRule="exact"/>
        <w:jc w:val="center"/>
        <w:rPr>
          <w:rFonts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秸秆收贮面积村级确认统计表</w:t>
      </w:r>
    </w:p>
    <w:tbl>
      <w:tblPr>
        <w:tblStyle w:val="14"/>
        <w:tblW w:w="87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831"/>
        <w:gridCol w:w="716"/>
        <w:gridCol w:w="721"/>
        <w:gridCol w:w="718"/>
        <w:gridCol w:w="721"/>
        <w:gridCol w:w="718"/>
        <w:gridCol w:w="721"/>
        <w:gridCol w:w="1338"/>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856" w:type="dxa"/>
            <w:vMerge w:val="restart"/>
            <w:vAlign w:val="center"/>
          </w:tcPr>
          <w:p>
            <w:pPr>
              <w:spacing w:line="400" w:lineRule="exact"/>
              <w:jc w:val="both"/>
              <w:rPr>
                <w:rFonts w:ascii="仿宋_GB2312" w:hAnsi="仿宋" w:eastAsia="仿宋_GB2312"/>
              </w:rPr>
            </w:pPr>
            <w:r>
              <w:rPr>
                <w:rFonts w:hint="eastAsia" w:ascii="仿宋_GB2312" w:hAnsi="仿宋" w:eastAsia="仿宋_GB2312"/>
              </w:rPr>
              <w:t>乡镇村别</w:t>
            </w:r>
          </w:p>
        </w:tc>
        <w:tc>
          <w:tcPr>
            <w:tcW w:w="831" w:type="dxa"/>
            <w:vMerge w:val="restart"/>
            <w:vAlign w:val="center"/>
          </w:tcPr>
          <w:p>
            <w:pPr>
              <w:spacing w:line="400" w:lineRule="exact"/>
              <w:jc w:val="both"/>
              <w:rPr>
                <w:rFonts w:ascii="仿宋_GB2312" w:hAnsi="仿宋" w:eastAsia="仿宋_GB2312"/>
              </w:rPr>
            </w:pPr>
            <w:r>
              <w:rPr>
                <w:rFonts w:hint="eastAsia" w:ascii="仿宋_GB2312" w:hAnsi="仿宋" w:eastAsia="仿宋_GB2312"/>
              </w:rPr>
              <w:t>农户姓名</w:t>
            </w:r>
          </w:p>
        </w:tc>
        <w:tc>
          <w:tcPr>
            <w:tcW w:w="1437" w:type="dxa"/>
            <w:gridSpan w:val="2"/>
            <w:vAlign w:val="center"/>
          </w:tcPr>
          <w:p>
            <w:pPr>
              <w:spacing w:line="400" w:lineRule="exact"/>
              <w:jc w:val="both"/>
              <w:rPr>
                <w:rFonts w:ascii="仿宋_GB2312" w:hAnsi="仿宋" w:eastAsia="仿宋_GB2312"/>
              </w:rPr>
            </w:pPr>
            <w:r>
              <w:rPr>
                <w:rFonts w:hint="eastAsia" w:ascii="仿宋_GB2312" w:hAnsi="仿宋" w:eastAsia="仿宋_GB2312"/>
              </w:rPr>
              <w:t>作物种植</w:t>
            </w:r>
          </w:p>
          <w:p>
            <w:pPr>
              <w:spacing w:line="400" w:lineRule="exact"/>
              <w:jc w:val="both"/>
              <w:rPr>
                <w:rFonts w:ascii="仿宋_GB2312" w:hAnsi="仿宋" w:eastAsia="仿宋_GB2312"/>
              </w:rPr>
            </w:pPr>
            <w:r>
              <w:rPr>
                <w:rFonts w:hint="eastAsia" w:ascii="仿宋_GB2312" w:hAnsi="仿宋" w:eastAsia="仿宋_GB2312"/>
              </w:rPr>
              <w:t>面积（亩）</w:t>
            </w:r>
          </w:p>
        </w:tc>
        <w:tc>
          <w:tcPr>
            <w:tcW w:w="1439" w:type="dxa"/>
            <w:gridSpan w:val="2"/>
            <w:vAlign w:val="center"/>
          </w:tcPr>
          <w:p>
            <w:pPr>
              <w:spacing w:line="400" w:lineRule="exact"/>
              <w:jc w:val="both"/>
              <w:rPr>
                <w:rFonts w:ascii="仿宋_GB2312" w:hAnsi="仿宋" w:eastAsia="仿宋_GB2312"/>
              </w:rPr>
            </w:pPr>
            <w:r>
              <w:rPr>
                <w:rFonts w:hint="eastAsia" w:ascii="仿宋_GB2312" w:hAnsi="仿宋" w:eastAsia="仿宋_GB2312"/>
              </w:rPr>
              <w:t>秸秆收贮</w:t>
            </w:r>
          </w:p>
          <w:p>
            <w:pPr>
              <w:spacing w:line="400" w:lineRule="exact"/>
              <w:jc w:val="both"/>
              <w:rPr>
                <w:rFonts w:ascii="仿宋_GB2312" w:hAnsi="仿宋" w:eastAsia="仿宋_GB2312"/>
              </w:rPr>
            </w:pPr>
            <w:r>
              <w:rPr>
                <w:rFonts w:hint="eastAsia" w:ascii="仿宋_GB2312" w:hAnsi="仿宋" w:eastAsia="仿宋_GB2312"/>
              </w:rPr>
              <w:t>面积（亩）</w:t>
            </w:r>
          </w:p>
        </w:tc>
        <w:tc>
          <w:tcPr>
            <w:tcW w:w="1439" w:type="dxa"/>
            <w:gridSpan w:val="2"/>
            <w:vAlign w:val="center"/>
          </w:tcPr>
          <w:p>
            <w:pPr>
              <w:spacing w:line="400" w:lineRule="exact"/>
              <w:jc w:val="both"/>
              <w:rPr>
                <w:rFonts w:ascii="仿宋_GB2312" w:hAnsi="仿宋" w:eastAsia="仿宋_GB2312"/>
              </w:rPr>
            </w:pPr>
            <w:r>
              <w:rPr>
                <w:rFonts w:hint="eastAsia" w:ascii="仿宋_GB2312" w:hAnsi="仿宋" w:eastAsia="仿宋_GB2312"/>
              </w:rPr>
              <w:t>秸秆收贮</w:t>
            </w:r>
          </w:p>
          <w:p>
            <w:pPr>
              <w:spacing w:line="400" w:lineRule="exact"/>
              <w:jc w:val="both"/>
              <w:rPr>
                <w:rFonts w:ascii="仿宋_GB2312" w:hAnsi="仿宋" w:eastAsia="仿宋_GB2312"/>
              </w:rPr>
            </w:pPr>
            <w:r>
              <w:rPr>
                <w:rFonts w:hint="eastAsia" w:ascii="仿宋_GB2312" w:hAnsi="仿宋" w:eastAsia="仿宋_GB2312"/>
              </w:rPr>
              <w:t>量（吨）</w:t>
            </w:r>
          </w:p>
        </w:tc>
        <w:tc>
          <w:tcPr>
            <w:tcW w:w="1338" w:type="dxa"/>
            <w:vMerge w:val="restart"/>
            <w:vAlign w:val="center"/>
          </w:tcPr>
          <w:p>
            <w:pPr>
              <w:spacing w:line="400" w:lineRule="exact"/>
              <w:jc w:val="both"/>
              <w:rPr>
                <w:rFonts w:ascii="仿宋_GB2312" w:hAnsi="仿宋" w:eastAsia="仿宋_GB2312"/>
              </w:rPr>
            </w:pPr>
            <w:r>
              <w:rPr>
                <w:rFonts w:hint="eastAsia" w:ascii="仿宋_GB2312" w:hAnsi="仿宋" w:eastAsia="仿宋_GB2312"/>
              </w:rPr>
              <w:t>联系电话</w:t>
            </w:r>
          </w:p>
        </w:tc>
        <w:tc>
          <w:tcPr>
            <w:tcW w:w="1377" w:type="dxa"/>
            <w:vMerge w:val="restart"/>
            <w:vAlign w:val="center"/>
          </w:tcPr>
          <w:p>
            <w:pPr>
              <w:spacing w:line="400" w:lineRule="exact"/>
              <w:jc w:val="both"/>
              <w:rPr>
                <w:rFonts w:ascii="仿宋_GB2312" w:hAnsi="仿宋" w:eastAsia="仿宋_GB2312"/>
              </w:rPr>
            </w:pPr>
            <w:r>
              <w:rPr>
                <w:rFonts w:hint="eastAsia" w:ascii="仿宋_GB2312" w:hAnsi="仿宋" w:eastAsia="仿宋_GB2312"/>
              </w:rPr>
              <w:t>农户</w:t>
            </w:r>
          </w:p>
          <w:p>
            <w:pPr>
              <w:spacing w:line="400" w:lineRule="exact"/>
              <w:jc w:val="both"/>
              <w:rPr>
                <w:rFonts w:ascii="仿宋_GB2312" w:hAnsi="仿宋" w:eastAsia="仿宋_GB2312"/>
              </w:rPr>
            </w:pPr>
            <w:r>
              <w:rPr>
                <w:rFonts w:hint="eastAsia" w:ascii="仿宋_GB2312" w:hAnsi="仿宋" w:eastAsia="仿宋_GB2312"/>
              </w:rPr>
              <w:t>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6" w:type="dxa"/>
            <w:vMerge w:val="continue"/>
            <w:vAlign w:val="center"/>
          </w:tcPr>
          <w:p>
            <w:pPr>
              <w:spacing w:line="579" w:lineRule="exact"/>
              <w:ind w:firstLine="480" w:firstLineChars="200"/>
              <w:jc w:val="both"/>
              <w:rPr>
                <w:rFonts w:ascii="仿宋_GB2312" w:hAnsi="仿宋" w:eastAsia="仿宋_GB2312"/>
              </w:rPr>
            </w:pPr>
          </w:p>
        </w:tc>
        <w:tc>
          <w:tcPr>
            <w:tcW w:w="831" w:type="dxa"/>
            <w:vMerge w:val="continue"/>
            <w:vAlign w:val="center"/>
          </w:tcPr>
          <w:p>
            <w:pPr>
              <w:spacing w:line="579" w:lineRule="exact"/>
              <w:ind w:firstLine="480" w:firstLineChars="200"/>
              <w:jc w:val="both"/>
              <w:rPr>
                <w:rFonts w:ascii="仿宋_GB2312" w:hAnsi="仿宋" w:eastAsia="仿宋_GB2312"/>
              </w:rPr>
            </w:pPr>
          </w:p>
        </w:tc>
        <w:tc>
          <w:tcPr>
            <w:tcW w:w="716" w:type="dxa"/>
            <w:vAlign w:val="center"/>
          </w:tcPr>
          <w:p>
            <w:pPr>
              <w:spacing w:line="579" w:lineRule="exact"/>
              <w:jc w:val="both"/>
              <w:rPr>
                <w:rFonts w:ascii="仿宋_GB2312" w:hAnsi="仿宋" w:eastAsia="仿宋_GB2312"/>
              </w:rPr>
            </w:pPr>
            <w:r>
              <w:rPr>
                <w:rFonts w:hint="eastAsia" w:ascii="仿宋_GB2312" w:hAnsi="仿宋" w:eastAsia="仿宋_GB2312"/>
              </w:rPr>
              <w:t>小麦</w:t>
            </w:r>
          </w:p>
        </w:tc>
        <w:tc>
          <w:tcPr>
            <w:tcW w:w="721" w:type="dxa"/>
            <w:vAlign w:val="center"/>
          </w:tcPr>
          <w:p>
            <w:pPr>
              <w:spacing w:line="579" w:lineRule="exact"/>
              <w:jc w:val="both"/>
              <w:rPr>
                <w:rFonts w:ascii="仿宋_GB2312" w:hAnsi="仿宋" w:eastAsia="仿宋_GB2312"/>
              </w:rPr>
            </w:pPr>
            <w:r>
              <w:rPr>
                <w:rFonts w:hint="eastAsia" w:ascii="仿宋_GB2312" w:hAnsi="仿宋" w:eastAsia="仿宋_GB2312"/>
              </w:rPr>
              <w:t>玉米</w:t>
            </w:r>
          </w:p>
        </w:tc>
        <w:tc>
          <w:tcPr>
            <w:tcW w:w="718" w:type="dxa"/>
            <w:vAlign w:val="center"/>
          </w:tcPr>
          <w:p>
            <w:pPr>
              <w:spacing w:line="579" w:lineRule="exact"/>
              <w:jc w:val="both"/>
              <w:rPr>
                <w:rFonts w:ascii="仿宋_GB2312" w:hAnsi="仿宋" w:eastAsia="仿宋_GB2312"/>
              </w:rPr>
            </w:pPr>
            <w:r>
              <w:rPr>
                <w:rFonts w:hint="eastAsia" w:ascii="仿宋_GB2312" w:hAnsi="仿宋" w:eastAsia="仿宋_GB2312"/>
              </w:rPr>
              <w:t>小麦</w:t>
            </w:r>
          </w:p>
        </w:tc>
        <w:tc>
          <w:tcPr>
            <w:tcW w:w="721" w:type="dxa"/>
            <w:vAlign w:val="center"/>
          </w:tcPr>
          <w:p>
            <w:pPr>
              <w:spacing w:line="579" w:lineRule="exact"/>
              <w:jc w:val="both"/>
              <w:rPr>
                <w:rFonts w:ascii="仿宋_GB2312" w:hAnsi="仿宋" w:eastAsia="仿宋_GB2312"/>
              </w:rPr>
            </w:pPr>
            <w:r>
              <w:rPr>
                <w:rFonts w:hint="eastAsia" w:ascii="仿宋_GB2312" w:hAnsi="仿宋" w:eastAsia="仿宋_GB2312"/>
              </w:rPr>
              <w:t>玉米</w:t>
            </w:r>
          </w:p>
        </w:tc>
        <w:tc>
          <w:tcPr>
            <w:tcW w:w="718" w:type="dxa"/>
            <w:vAlign w:val="center"/>
          </w:tcPr>
          <w:p>
            <w:pPr>
              <w:spacing w:line="579" w:lineRule="exact"/>
              <w:jc w:val="both"/>
              <w:rPr>
                <w:rFonts w:ascii="仿宋_GB2312" w:hAnsi="仿宋" w:eastAsia="仿宋_GB2312"/>
              </w:rPr>
            </w:pPr>
            <w:r>
              <w:rPr>
                <w:rFonts w:hint="eastAsia" w:ascii="仿宋_GB2312" w:hAnsi="仿宋" w:eastAsia="仿宋_GB2312"/>
              </w:rPr>
              <w:t>小麦</w:t>
            </w:r>
          </w:p>
        </w:tc>
        <w:tc>
          <w:tcPr>
            <w:tcW w:w="721" w:type="dxa"/>
            <w:vAlign w:val="center"/>
          </w:tcPr>
          <w:p>
            <w:pPr>
              <w:spacing w:line="579" w:lineRule="exact"/>
              <w:jc w:val="both"/>
              <w:rPr>
                <w:rFonts w:ascii="仿宋_GB2312" w:hAnsi="仿宋" w:eastAsia="仿宋_GB2312"/>
              </w:rPr>
            </w:pPr>
            <w:r>
              <w:rPr>
                <w:rFonts w:hint="eastAsia" w:ascii="仿宋_GB2312" w:hAnsi="仿宋" w:eastAsia="仿宋_GB2312"/>
              </w:rPr>
              <w:t>玉米</w:t>
            </w:r>
          </w:p>
        </w:tc>
        <w:tc>
          <w:tcPr>
            <w:tcW w:w="1338" w:type="dxa"/>
            <w:vMerge w:val="continue"/>
            <w:vAlign w:val="center"/>
          </w:tcPr>
          <w:p>
            <w:pPr>
              <w:spacing w:line="579" w:lineRule="exact"/>
              <w:ind w:firstLine="480" w:firstLineChars="200"/>
              <w:jc w:val="both"/>
              <w:rPr>
                <w:rFonts w:ascii="仿宋_GB2312" w:hAnsi="仿宋" w:eastAsia="仿宋_GB2312"/>
              </w:rPr>
            </w:pPr>
          </w:p>
        </w:tc>
        <w:tc>
          <w:tcPr>
            <w:tcW w:w="1377" w:type="dxa"/>
            <w:vMerge w:val="continue"/>
            <w:vAlign w:val="center"/>
          </w:tcPr>
          <w:p>
            <w:pPr>
              <w:spacing w:line="579" w:lineRule="exact"/>
              <w:ind w:firstLine="480" w:firstLineChars="200"/>
              <w:jc w:val="both"/>
              <w:rPr>
                <w:rFonts w:ascii="仿宋_GB2312" w:hAnsi="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856" w:type="dxa"/>
            <w:vAlign w:val="center"/>
          </w:tcPr>
          <w:p>
            <w:pPr>
              <w:spacing w:line="579" w:lineRule="exact"/>
              <w:ind w:firstLine="480" w:firstLineChars="200"/>
              <w:jc w:val="both"/>
              <w:rPr>
                <w:rFonts w:ascii="仿宋_GB2312" w:hAnsi="仿宋" w:eastAsia="仿宋_GB2312"/>
              </w:rPr>
            </w:pPr>
          </w:p>
        </w:tc>
        <w:tc>
          <w:tcPr>
            <w:tcW w:w="831" w:type="dxa"/>
            <w:vAlign w:val="center"/>
          </w:tcPr>
          <w:p>
            <w:pPr>
              <w:spacing w:line="579" w:lineRule="exact"/>
              <w:ind w:firstLine="480" w:firstLineChars="200"/>
              <w:jc w:val="both"/>
              <w:rPr>
                <w:rFonts w:ascii="仿宋_GB2312" w:hAnsi="仿宋" w:eastAsia="仿宋_GB2312"/>
              </w:rPr>
            </w:pPr>
          </w:p>
        </w:tc>
        <w:tc>
          <w:tcPr>
            <w:tcW w:w="716" w:type="dxa"/>
            <w:vAlign w:val="center"/>
          </w:tcPr>
          <w:p>
            <w:pPr>
              <w:spacing w:line="579" w:lineRule="exact"/>
              <w:ind w:firstLine="480" w:firstLineChars="200"/>
              <w:jc w:val="both"/>
              <w:rPr>
                <w:rFonts w:ascii="仿宋_GB2312" w:hAnsi="仿宋" w:eastAsia="仿宋_GB2312"/>
              </w:rPr>
            </w:pPr>
          </w:p>
        </w:tc>
        <w:tc>
          <w:tcPr>
            <w:tcW w:w="721" w:type="dxa"/>
            <w:vAlign w:val="center"/>
          </w:tcPr>
          <w:p>
            <w:pPr>
              <w:spacing w:line="579" w:lineRule="exact"/>
              <w:ind w:firstLine="480" w:firstLineChars="200"/>
              <w:jc w:val="both"/>
              <w:rPr>
                <w:rFonts w:ascii="仿宋_GB2312" w:hAnsi="仿宋" w:eastAsia="仿宋_GB2312"/>
              </w:rPr>
            </w:pPr>
          </w:p>
        </w:tc>
        <w:tc>
          <w:tcPr>
            <w:tcW w:w="718" w:type="dxa"/>
            <w:vAlign w:val="center"/>
          </w:tcPr>
          <w:p>
            <w:pPr>
              <w:spacing w:line="579" w:lineRule="exact"/>
              <w:ind w:firstLine="480" w:firstLineChars="200"/>
              <w:jc w:val="both"/>
              <w:rPr>
                <w:rFonts w:ascii="仿宋_GB2312" w:hAnsi="仿宋" w:eastAsia="仿宋_GB2312"/>
              </w:rPr>
            </w:pPr>
          </w:p>
        </w:tc>
        <w:tc>
          <w:tcPr>
            <w:tcW w:w="721" w:type="dxa"/>
            <w:vAlign w:val="center"/>
          </w:tcPr>
          <w:p>
            <w:pPr>
              <w:spacing w:line="579" w:lineRule="exact"/>
              <w:ind w:firstLine="480" w:firstLineChars="200"/>
              <w:jc w:val="both"/>
              <w:rPr>
                <w:rFonts w:ascii="仿宋_GB2312" w:hAnsi="仿宋" w:eastAsia="仿宋_GB2312"/>
              </w:rPr>
            </w:pPr>
          </w:p>
        </w:tc>
        <w:tc>
          <w:tcPr>
            <w:tcW w:w="718" w:type="dxa"/>
            <w:vAlign w:val="center"/>
          </w:tcPr>
          <w:p>
            <w:pPr>
              <w:spacing w:line="579" w:lineRule="exact"/>
              <w:ind w:firstLine="480" w:firstLineChars="200"/>
              <w:jc w:val="both"/>
              <w:rPr>
                <w:rFonts w:ascii="仿宋_GB2312" w:hAnsi="仿宋" w:eastAsia="仿宋_GB2312"/>
              </w:rPr>
            </w:pPr>
          </w:p>
        </w:tc>
        <w:tc>
          <w:tcPr>
            <w:tcW w:w="721" w:type="dxa"/>
            <w:vAlign w:val="center"/>
          </w:tcPr>
          <w:p>
            <w:pPr>
              <w:spacing w:line="579" w:lineRule="exact"/>
              <w:ind w:firstLine="480" w:firstLineChars="200"/>
              <w:jc w:val="both"/>
              <w:rPr>
                <w:rFonts w:ascii="仿宋_GB2312" w:hAnsi="仿宋" w:eastAsia="仿宋_GB2312"/>
              </w:rPr>
            </w:pPr>
          </w:p>
        </w:tc>
        <w:tc>
          <w:tcPr>
            <w:tcW w:w="1338" w:type="dxa"/>
            <w:vAlign w:val="center"/>
          </w:tcPr>
          <w:p>
            <w:pPr>
              <w:spacing w:line="579" w:lineRule="exact"/>
              <w:ind w:firstLine="480" w:firstLineChars="200"/>
              <w:jc w:val="both"/>
              <w:rPr>
                <w:rFonts w:ascii="仿宋_GB2312" w:hAnsi="仿宋" w:eastAsia="仿宋_GB2312"/>
              </w:rPr>
            </w:pPr>
          </w:p>
        </w:tc>
        <w:tc>
          <w:tcPr>
            <w:tcW w:w="1377" w:type="dxa"/>
            <w:vAlign w:val="center"/>
          </w:tcPr>
          <w:p>
            <w:pPr>
              <w:spacing w:line="579" w:lineRule="exact"/>
              <w:ind w:firstLine="480" w:firstLineChars="200"/>
              <w:jc w:val="both"/>
              <w:rPr>
                <w:rFonts w:ascii="仿宋_GB2312" w:hAnsi="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856" w:type="dxa"/>
            <w:vAlign w:val="center"/>
          </w:tcPr>
          <w:p>
            <w:pPr>
              <w:spacing w:line="579" w:lineRule="exact"/>
              <w:ind w:firstLine="640" w:firstLineChars="200"/>
              <w:jc w:val="both"/>
              <w:rPr>
                <w:rFonts w:ascii="仿宋_GB2312" w:hAnsi="仿宋" w:eastAsia="仿宋_GB2312"/>
                <w:sz w:val="32"/>
                <w:szCs w:val="32"/>
              </w:rPr>
            </w:pPr>
          </w:p>
        </w:tc>
        <w:tc>
          <w:tcPr>
            <w:tcW w:w="831" w:type="dxa"/>
            <w:vAlign w:val="center"/>
          </w:tcPr>
          <w:p>
            <w:pPr>
              <w:spacing w:line="579" w:lineRule="exact"/>
              <w:ind w:firstLine="640" w:firstLineChars="200"/>
              <w:jc w:val="both"/>
              <w:rPr>
                <w:rFonts w:ascii="仿宋_GB2312" w:hAnsi="仿宋" w:eastAsia="仿宋_GB2312"/>
                <w:sz w:val="32"/>
                <w:szCs w:val="32"/>
              </w:rPr>
            </w:pPr>
          </w:p>
        </w:tc>
        <w:tc>
          <w:tcPr>
            <w:tcW w:w="716" w:type="dxa"/>
            <w:vAlign w:val="center"/>
          </w:tcPr>
          <w:p>
            <w:pPr>
              <w:spacing w:line="579" w:lineRule="exact"/>
              <w:ind w:firstLine="640" w:firstLineChars="200"/>
              <w:jc w:val="both"/>
              <w:rPr>
                <w:rFonts w:ascii="仿宋_GB2312" w:hAnsi="仿宋" w:eastAsia="仿宋_GB2312"/>
                <w:sz w:val="32"/>
                <w:szCs w:val="32"/>
              </w:rPr>
            </w:pPr>
          </w:p>
        </w:tc>
        <w:tc>
          <w:tcPr>
            <w:tcW w:w="721" w:type="dxa"/>
            <w:vAlign w:val="center"/>
          </w:tcPr>
          <w:p>
            <w:pPr>
              <w:spacing w:line="579" w:lineRule="exact"/>
              <w:ind w:firstLine="640" w:firstLineChars="200"/>
              <w:jc w:val="both"/>
              <w:rPr>
                <w:rFonts w:ascii="仿宋_GB2312" w:hAnsi="仿宋" w:eastAsia="仿宋_GB2312"/>
                <w:sz w:val="32"/>
                <w:szCs w:val="32"/>
              </w:rPr>
            </w:pPr>
          </w:p>
        </w:tc>
        <w:tc>
          <w:tcPr>
            <w:tcW w:w="718" w:type="dxa"/>
            <w:vAlign w:val="center"/>
          </w:tcPr>
          <w:p>
            <w:pPr>
              <w:spacing w:line="579" w:lineRule="exact"/>
              <w:ind w:firstLine="640" w:firstLineChars="200"/>
              <w:jc w:val="both"/>
              <w:rPr>
                <w:rFonts w:ascii="仿宋_GB2312" w:hAnsi="仿宋" w:eastAsia="仿宋_GB2312"/>
                <w:sz w:val="32"/>
                <w:szCs w:val="32"/>
              </w:rPr>
            </w:pPr>
          </w:p>
        </w:tc>
        <w:tc>
          <w:tcPr>
            <w:tcW w:w="721" w:type="dxa"/>
            <w:vAlign w:val="center"/>
          </w:tcPr>
          <w:p>
            <w:pPr>
              <w:spacing w:line="579" w:lineRule="exact"/>
              <w:ind w:firstLine="640" w:firstLineChars="200"/>
              <w:jc w:val="both"/>
              <w:rPr>
                <w:rFonts w:ascii="仿宋_GB2312" w:hAnsi="仿宋" w:eastAsia="仿宋_GB2312"/>
                <w:sz w:val="32"/>
                <w:szCs w:val="32"/>
              </w:rPr>
            </w:pPr>
          </w:p>
        </w:tc>
        <w:tc>
          <w:tcPr>
            <w:tcW w:w="718" w:type="dxa"/>
            <w:vAlign w:val="center"/>
          </w:tcPr>
          <w:p>
            <w:pPr>
              <w:spacing w:line="579" w:lineRule="exact"/>
              <w:ind w:firstLine="640" w:firstLineChars="200"/>
              <w:jc w:val="both"/>
              <w:rPr>
                <w:rFonts w:ascii="仿宋_GB2312" w:hAnsi="仿宋" w:eastAsia="仿宋_GB2312"/>
                <w:sz w:val="32"/>
                <w:szCs w:val="32"/>
              </w:rPr>
            </w:pPr>
          </w:p>
        </w:tc>
        <w:tc>
          <w:tcPr>
            <w:tcW w:w="721" w:type="dxa"/>
            <w:vAlign w:val="center"/>
          </w:tcPr>
          <w:p>
            <w:pPr>
              <w:spacing w:line="579" w:lineRule="exact"/>
              <w:ind w:firstLine="640" w:firstLineChars="200"/>
              <w:jc w:val="both"/>
              <w:rPr>
                <w:rFonts w:ascii="仿宋_GB2312" w:hAnsi="仿宋" w:eastAsia="仿宋_GB2312"/>
                <w:sz w:val="32"/>
                <w:szCs w:val="32"/>
              </w:rPr>
            </w:pPr>
          </w:p>
        </w:tc>
        <w:tc>
          <w:tcPr>
            <w:tcW w:w="1338" w:type="dxa"/>
            <w:vAlign w:val="center"/>
          </w:tcPr>
          <w:p>
            <w:pPr>
              <w:spacing w:line="579" w:lineRule="exact"/>
              <w:ind w:firstLine="640" w:firstLineChars="200"/>
              <w:jc w:val="both"/>
              <w:rPr>
                <w:rFonts w:ascii="仿宋_GB2312" w:hAnsi="仿宋" w:eastAsia="仿宋_GB2312"/>
                <w:sz w:val="32"/>
                <w:szCs w:val="32"/>
              </w:rPr>
            </w:pPr>
          </w:p>
        </w:tc>
        <w:tc>
          <w:tcPr>
            <w:tcW w:w="1377" w:type="dxa"/>
            <w:vAlign w:val="center"/>
          </w:tcPr>
          <w:p>
            <w:pPr>
              <w:spacing w:line="579" w:lineRule="exact"/>
              <w:ind w:firstLine="640" w:firstLineChars="200"/>
              <w:jc w:val="both"/>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856" w:type="dxa"/>
            <w:vAlign w:val="center"/>
          </w:tcPr>
          <w:p>
            <w:pPr>
              <w:spacing w:line="579" w:lineRule="exact"/>
              <w:ind w:firstLine="640" w:firstLineChars="200"/>
              <w:jc w:val="both"/>
              <w:rPr>
                <w:rFonts w:ascii="仿宋_GB2312" w:hAnsi="仿宋" w:eastAsia="仿宋_GB2312"/>
                <w:sz w:val="32"/>
                <w:szCs w:val="32"/>
              </w:rPr>
            </w:pPr>
          </w:p>
        </w:tc>
        <w:tc>
          <w:tcPr>
            <w:tcW w:w="831" w:type="dxa"/>
            <w:vAlign w:val="center"/>
          </w:tcPr>
          <w:p>
            <w:pPr>
              <w:spacing w:line="579" w:lineRule="exact"/>
              <w:ind w:firstLine="640" w:firstLineChars="200"/>
              <w:jc w:val="both"/>
              <w:rPr>
                <w:rFonts w:ascii="仿宋_GB2312" w:hAnsi="仿宋" w:eastAsia="仿宋_GB2312"/>
                <w:sz w:val="32"/>
                <w:szCs w:val="32"/>
              </w:rPr>
            </w:pPr>
          </w:p>
        </w:tc>
        <w:tc>
          <w:tcPr>
            <w:tcW w:w="716" w:type="dxa"/>
            <w:vAlign w:val="center"/>
          </w:tcPr>
          <w:p>
            <w:pPr>
              <w:spacing w:line="579" w:lineRule="exact"/>
              <w:ind w:firstLine="640" w:firstLineChars="200"/>
              <w:jc w:val="both"/>
              <w:rPr>
                <w:rFonts w:ascii="仿宋_GB2312" w:hAnsi="仿宋" w:eastAsia="仿宋_GB2312"/>
                <w:sz w:val="32"/>
                <w:szCs w:val="32"/>
              </w:rPr>
            </w:pPr>
          </w:p>
        </w:tc>
        <w:tc>
          <w:tcPr>
            <w:tcW w:w="721" w:type="dxa"/>
            <w:vAlign w:val="center"/>
          </w:tcPr>
          <w:p>
            <w:pPr>
              <w:spacing w:line="579" w:lineRule="exact"/>
              <w:ind w:firstLine="640" w:firstLineChars="200"/>
              <w:jc w:val="both"/>
              <w:rPr>
                <w:rFonts w:ascii="仿宋_GB2312" w:hAnsi="仿宋" w:eastAsia="仿宋_GB2312"/>
                <w:sz w:val="32"/>
                <w:szCs w:val="32"/>
              </w:rPr>
            </w:pPr>
          </w:p>
        </w:tc>
        <w:tc>
          <w:tcPr>
            <w:tcW w:w="718" w:type="dxa"/>
            <w:vAlign w:val="center"/>
          </w:tcPr>
          <w:p>
            <w:pPr>
              <w:spacing w:line="579" w:lineRule="exact"/>
              <w:ind w:firstLine="640" w:firstLineChars="200"/>
              <w:jc w:val="both"/>
              <w:rPr>
                <w:rFonts w:ascii="仿宋_GB2312" w:hAnsi="仿宋" w:eastAsia="仿宋_GB2312"/>
                <w:sz w:val="32"/>
                <w:szCs w:val="32"/>
              </w:rPr>
            </w:pPr>
          </w:p>
        </w:tc>
        <w:tc>
          <w:tcPr>
            <w:tcW w:w="721" w:type="dxa"/>
            <w:vAlign w:val="center"/>
          </w:tcPr>
          <w:p>
            <w:pPr>
              <w:spacing w:line="579" w:lineRule="exact"/>
              <w:ind w:firstLine="640" w:firstLineChars="200"/>
              <w:jc w:val="both"/>
              <w:rPr>
                <w:rFonts w:ascii="仿宋_GB2312" w:hAnsi="仿宋" w:eastAsia="仿宋_GB2312"/>
                <w:sz w:val="32"/>
                <w:szCs w:val="32"/>
              </w:rPr>
            </w:pPr>
          </w:p>
        </w:tc>
        <w:tc>
          <w:tcPr>
            <w:tcW w:w="718" w:type="dxa"/>
            <w:vAlign w:val="center"/>
          </w:tcPr>
          <w:p>
            <w:pPr>
              <w:spacing w:line="579" w:lineRule="exact"/>
              <w:ind w:firstLine="640" w:firstLineChars="200"/>
              <w:jc w:val="both"/>
              <w:rPr>
                <w:rFonts w:ascii="仿宋_GB2312" w:hAnsi="仿宋" w:eastAsia="仿宋_GB2312"/>
                <w:sz w:val="32"/>
                <w:szCs w:val="32"/>
              </w:rPr>
            </w:pPr>
          </w:p>
        </w:tc>
        <w:tc>
          <w:tcPr>
            <w:tcW w:w="721" w:type="dxa"/>
            <w:vAlign w:val="center"/>
          </w:tcPr>
          <w:p>
            <w:pPr>
              <w:spacing w:line="579" w:lineRule="exact"/>
              <w:ind w:firstLine="640" w:firstLineChars="200"/>
              <w:jc w:val="both"/>
              <w:rPr>
                <w:rFonts w:ascii="仿宋_GB2312" w:hAnsi="仿宋" w:eastAsia="仿宋_GB2312"/>
                <w:sz w:val="32"/>
                <w:szCs w:val="32"/>
              </w:rPr>
            </w:pPr>
          </w:p>
        </w:tc>
        <w:tc>
          <w:tcPr>
            <w:tcW w:w="1338" w:type="dxa"/>
            <w:vAlign w:val="center"/>
          </w:tcPr>
          <w:p>
            <w:pPr>
              <w:spacing w:line="579" w:lineRule="exact"/>
              <w:ind w:firstLine="640" w:firstLineChars="200"/>
              <w:jc w:val="both"/>
              <w:rPr>
                <w:rFonts w:ascii="仿宋_GB2312" w:hAnsi="仿宋" w:eastAsia="仿宋_GB2312"/>
                <w:sz w:val="32"/>
                <w:szCs w:val="32"/>
              </w:rPr>
            </w:pPr>
          </w:p>
        </w:tc>
        <w:tc>
          <w:tcPr>
            <w:tcW w:w="1377" w:type="dxa"/>
            <w:vAlign w:val="center"/>
          </w:tcPr>
          <w:p>
            <w:pPr>
              <w:spacing w:line="579" w:lineRule="exact"/>
              <w:ind w:firstLine="640" w:firstLineChars="200"/>
              <w:jc w:val="both"/>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856" w:type="dxa"/>
            <w:vAlign w:val="center"/>
          </w:tcPr>
          <w:p>
            <w:pPr>
              <w:spacing w:line="579" w:lineRule="exact"/>
              <w:ind w:firstLine="640" w:firstLineChars="200"/>
              <w:jc w:val="both"/>
              <w:rPr>
                <w:rFonts w:ascii="仿宋_GB2312" w:hAnsi="仿宋" w:eastAsia="仿宋_GB2312"/>
                <w:sz w:val="32"/>
                <w:szCs w:val="32"/>
              </w:rPr>
            </w:pPr>
          </w:p>
        </w:tc>
        <w:tc>
          <w:tcPr>
            <w:tcW w:w="831" w:type="dxa"/>
            <w:vAlign w:val="center"/>
          </w:tcPr>
          <w:p>
            <w:pPr>
              <w:spacing w:line="579" w:lineRule="exact"/>
              <w:ind w:firstLine="640" w:firstLineChars="200"/>
              <w:jc w:val="both"/>
              <w:rPr>
                <w:rFonts w:ascii="仿宋_GB2312" w:hAnsi="仿宋" w:eastAsia="仿宋_GB2312"/>
                <w:sz w:val="32"/>
                <w:szCs w:val="32"/>
              </w:rPr>
            </w:pPr>
          </w:p>
        </w:tc>
        <w:tc>
          <w:tcPr>
            <w:tcW w:w="716" w:type="dxa"/>
            <w:vAlign w:val="center"/>
          </w:tcPr>
          <w:p>
            <w:pPr>
              <w:spacing w:line="579" w:lineRule="exact"/>
              <w:ind w:firstLine="640" w:firstLineChars="200"/>
              <w:jc w:val="both"/>
              <w:rPr>
                <w:rFonts w:ascii="仿宋_GB2312" w:hAnsi="仿宋" w:eastAsia="仿宋_GB2312"/>
                <w:sz w:val="32"/>
                <w:szCs w:val="32"/>
              </w:rPr>
            </w:pPr>
          </w:p>
        </w:tc>
        <w:tc>
          <w:tcPr>
            <w:tcW w:w="721" w:type="dxa"/>
            <w:vAlign w:val="center"/>
          </w:tcPr>
          <w:p>
            <w:pPr>
              <w:spacing w:line="579" w:lineRule="exact"/>
              <w:ind w:firstLine="640" w:firstLineChars="200"/>
              <w:jc w:val="both"/>
              <w:rPr>
                <w:rFonts w:ascii="仿宋_GB2312" w:hAnsi="仿宋" w:eastAsia="仿宋_GB2312"/>
                <w:sz w:val="32"/>
                <w:szCs w:val="32"/>
              </w:rPr>
            </w:pPr>
          </w:p>
        </w:tc>
        <w:tc>
          <w:tcPr>
            <w:tcW w:w="718" w:type="dxa"/>
            <w:vAlign w:val="center"/>
          </w:tcPr>
          <w:p>
            <w:pPr>
              <w:spacing w:line="579" w:lineRule="exact"/>
              <w:ind w:firstLine="640" w:firstLineChars="200"/>
              <w:jc w:val="both"/>
              <w:rPr>
                <w:rFonts w:ascii="仿宋_GB2312" w:hAnsi="仿宋" w:eastAsia="仿宋_GB2312"/>
                <w:sz w:val="32"/>
                <w:szCs w:val="32"/>
              </w:rPr>
            </w:pPr>
          </w:p>
        </w:tc>
        <w:tc>
          <w:tcPr>
            <w:tcW w:w="721" w:type="dxa"/>
            <w:vAlign w:val="center"/>
          </w:tcPr>
          <w:p>
            <w:pPr>
              <w:spacing w:line="579" w:lineRule="exact"/>
              <w:ind w:firstLine="640" w:firstLineChars="200"/>
              <w:jc w:val="both"/>
              <w:rPr>
                <w:rFonts w:ascii="仿宋_GB2312" w:hAnsi="仿宋" w:eastAsia="仿宋_GB2312"/>
                <w:sz w:val="32"/>
                <w:szCs w:val="32"/>
              </w:rPr>
            </w:pPr>
          </w:p>
        </w:tc>
        <w:tc>
          <w:tcPr>
            <w:tcW w:w="718" w:type="dxa"/>
            <w:vAlign w:val="center"/>
          </w:tcPr>
          <w:p>
            <w:pPr>
              <w:spacing w:line="579" w:lineRule="exact"/>
              <w:ind w:firstLine="640" w:firstLineChars="200"/>
              <w:jc w:val="both"/>
              <w:rPr>
                <w:rFonts w:ascii="仿宋_GB2312" w:hAnsi="仿宋" w:eastAsia="仿宋_GB2312"/>
                <w:sz w:val="32"/>
                <w:szCs w:val="32"/>
              </w:rPr>
            </w:pPr>
          </w:p>
        </w:tc>
        <w:tc>
          <w:tcPr>
            <w:tcW w:w="721" w:type="dxa"/>
            <w:vAlign w:val="center"/>
          </w:tcPr>
          <w:p>
            <w:pPr>
              <w:spacing w:line="579" w:lineRule="exact"/>
              <w:ind w:firstLine="640" w:firstLineChars="200"/>
              <w:jc w:val="both"/>
              <w:rPr>
                <w:rFonts w:ascii="仿宋_GB2312" w:hAnsi="仿宋" w:eastAsia="仿宋_GB2312"/>
                <w:sz w:val="32"/>
                <w:szCs w:val="32"/>
              </w:rPr>
            </w:pPr>
          </w:p>
        </w:tc>
        <w:tc>
          <w:tcPr>
            <w:tcW w:w="1338" w:type="dxa"/>
            <w:vAlign w:val="center"/>
          </w:tcPr>
          <w:p>
            <w:pPr>
              <w:spacing w:line="579" w:lineRule="exact"/>
              <w:ind w:firstLine="640" w:firstLineChars="200"/>
              <w:jc w:val="both"/>
              <w:rPr>
                <w:rFonts w:ascii="仿宋_GB2312" w:hAnsi="仿宋" w:eastAsia="仿宋_GB2312"/>
                <w:sz w:val="32"/>
                <w:szCs w:val="32"/>
              </w:rPr>
            </w:pPr>
          </w:p>
        </w:tc>
        <w:tc>
          <w:tcPr>
            <w:tcW w:w="1377" w:type="dxa"/>
            <w:vAlign w:val="center"/>
          </w:tcPr>
          <w:p>
            <w:pPr>
              <w:spacing w:line="579" w:lineRule="exact"/>
              <w:ind w:firstLine="640" w:firstLineChars="200"/>
              <w:jc w:val="both"/>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856" w:type="dxa"/>
            <w:vAlign w:val="center"/>
          </w:tcPr>
          <w:p>
            <w:pPr>
              <w:spacing w:line="579" w:lineRule="exact"/>
              <w:ind w:firstLine="640" w:firstLineChars="200"/>
              <w:jc w:val="both"/>
              <w:rPr>
                <w:rFonts w:ascii="仿宋_GB2312" w:hAnsi="仿宋" w:eastAsia="仿宋_GB2312"/>
                <w:sz w:val="32"/>
                <w:szCs w:val="32"/>
              </w:rPr>
            </w:pPr>
          </w:p>
        </w:tc>
        <w:tc>
          <w:tcPr>
            <w:tcW w:w="831" w:type="dxa"/>
            <w:vAlign w:val="center"/>
          </w:tcPr>
          <w:p>
            <w:pPr>
              <w:spacing w:line="579" w:lineRule="exact"/>
              <w:ind w:firstLine="640" w:firstLineChars="200"/>
              <w:jc w:val="both"/>
              <w:rPr>
                <w:rFonts w:ascii="仿宋_GB2312" w:hAnsi="仿宋" w:eastAsia="仿宋_GB2312"/>
                <w:sz w:val="32"/>
                <w:szCs w:val="32"/>
              </w:rPr>
            </w:pPr>
          </w:p>
        </w:tc>
        <w:tc>
          <w:tcPr>
            <w:tcW w:w="716" w:type="dxa"/>
            <w:vAlign w:val="center"/>
          </w:tcPr>
          <w:p>
            <w:pPr>
              <w:spacing w:line="579" w:lineRule="exact"/>
              <w:ind w:firstLine="640" w:firstLineChars="200"/>
              <w:jc w:val="both"/>
              <w:rPr>
                <w:rFonts w:ascii="仿宋_GB2312" w:hAnsi="仿宋" w:eastAsia="仿宋_GB2312"/>
                <w:sz w:val="32"/>
                <w:szCs w:val="32"/>
              </w:rPr>
            </w:pPr>
          </w:p>
        </w:tc>
        <w:tc>
          <w:tcPr>
            <w:tcW w:w="721" w:type="dxa"/>
            <w:vAlign w:val="center"/>
          </w:tcPr>
          <w:p>
            <w:pPr>
              <w:spacing w:line="579" w:lineRule="exact"/>
              <w:ind w:firstLine="640" w:firstLineChars="200"/>
              <w:jc w:val="both"/>
              <w:rPr>
                <w:rFonts w:ascii="仿宋_GB2312" w:hAnsi="仿宋" w:eastAsia="仿宋_GB2312"/>
                <w:sz w:val="32"/>
                <w:szCs w:val="32"/>
              </w:rPr>
            </w:pPr>
          </w:p>
        </w:tc>
        <w:tc>
          <w:tcPr>
            <w:tcW w:w="718" w:type="dxa"/>
            <w:vAlign w:val="center"/>
          </w:tcPr>
          <w:p>
            <w:pPr>
              <w:spacing w:line="579" w:lineRule="exact"/>
              <w:ind w:firstLine="640" w:firstLineChars="200"/>
              <w:jc w:val="both"/>
              <w:rPr>
                <w:rFonts w:ascii="仿宋_GB2312" w:hAnsi="仿宋" w:eastAsia="仿宋_GB2312"/>
                <w:sz w:val="32"/>
                <w:szCs w:val="32"/>
              </w:rPr>
            </w:pPr>
          </w:p>
        </w:tc>
        <w:tc>
          <w:tcPr>
            <w:tcW w:w="721" w:type="dxa"/>
            <w:vAlign w:val="center"/>
          </w:tcPr>
          <w:p>
            <w:pPr>
              <w:spacing w:line="579" w:lineRule="exact"/>
              <w:ind w:firstLine="640" w:firstLineChars="200"/>
              <w:jc w:val="both"/>
              <w:rPr>
                <w:rFonts w:ascii="仿宋_GB2312" w:hAnsi="仿宋" w:eastAsia="仿宋_GB2312"/>
                <w:sz w:val="32"/>
                <w:szCs w:val="32"/>
              </w:rPr>
            </w:pPr>
          </w:p>
        </w:tc>
        <w:tc>
          <w:tcPr>
            <w:tcW w:w="718" w:type="dxa"/>
            <w:vAlign w:val="center"/>
          </w:tcPr>
          <w:p>
            <w:pPr>
              <w:spacing w:line="579" w:lineRule="exact"/>
              <w:ind w:firstLine="640" w:firstLineChars="200"/>
              <w:jc w:val="both"/>
              <w:rPr>
                <w:rFonts w:ascii="仿宋_GB2312" w:hAnsi="仿宋" w:eastAsia="仿宋_GB2312"/>
                <w:sz w:val="32"/>
                <w:szCs w:val="32"/>
              </w:rPr>
            </w:pPr>
          </w:p>
        </w:tc>
        <w:tc>
          <w:tcPr>
            <w:tcW w:w="721" w:type="dxa"/>
            <w:vAlign w:val="center"/>
          </w:tcPr>
          <w:p>
            <w:pPr>
              <w:spacing w:line="579" w:lineRule="exact"/>
              <w:ind w:firstLine="640" w:firstLineChars="200"/>
              <w:jc w:val="both"/>
              <w:rPr>
                <w:rFonts w:ascii="仿宋_GB2312" w:hAnsi="仿宋" w:eastAsia="仿宋_GB2312"/>
                <w:sz w:val="32"/>
                <w:szCs w:val="32"/>
              </w:rPr>
            </w:pPr>
          </w:p>
        </w:tc>
        <w:tc>
          <w:tcPr>
            <w:tcW w:w="1338" w:type="dxa"/>
            <w:vAlign w:val="center"/>
          </w:tcPr>
          <w:p>
            <w:pPr>
              <w:spacing w:line="579" w:lineRule="exact"/>
              <w:ind w:firstLine="640" w:firstLineChars="200"/>
              <w:jc w:val="both"/>
              <w:rPr>
                <w:rFonts w:ascii="仿宋_GB2312" w:hAnsi="仿宋" w:eastAsia="仿宋_GB2312"/>
                <w:sz w:val="32"/>
                <w:szCs w:val="32"/>
              </w:rPr>
            </w:pPr>
          </w:p>
        </w:tc>
        <w:tc>
          <w:tcPr>
            <w:tcW w:w="1377" w:type="dxa"/>
            <w:vAlign w:val="center"/>
          </w:tcPr>
          <w:p>
            <w:pPr>
              <w:spacing w:line="579" w:lineRule="exact"/>
              <w:ind w:firstLine="640" w:firstLineChars="200"/>
              <w:jc w:val="both"/>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856" w:type="dxa"/>
            <w:vAlign w:val="center"/>
          </w:tcPr>
          <w:p>
            <w:pPr>
              <w:spacing w:line="579" w:lineRule="exact"/>
              <w:jc w:val="both"/>
              <w:rPr>
                <w:rFonts w:ascii="仿宋_GB2312" w:hAnsi="仿宋" w:eastAsia="仿宋_GB2312"/>
                <w:sz w:val="32"/>
                <w:szCs w:val="32"/>
              </w:rPr>
            </w:pPr>
            <w:r>
              <w:rPr>
                <w:rFonts w:hint="eastAsia" w:ascii="仿宋_GB2312" w:hAnsi="仿宋" w:eastAsia="仿宋_GB2312"/>
                <w:sz w:val="32"/>
                <w:szCs w:val="32"/>
              </w:rPr>
              <w:t>……</w:t>
            </w:r>
          </w:p>
        </w:tc>
        <w:tc>
          <w:tcPr>
            <w:tcW w:w="831" w:type="dxa"/>
            <w:vAlign w:val="center"/>
          </w:tcPr>
          <w:p>
            <w:pPr>
              <w:spacing w:line="579" w:lineRule="exact"/>
              <w:ind w:firstLine="640" w:firstLineChars="200"/>
              <w:jc w:val="both"/>
              <w:rPr>
                <w:rFonts w:ascii="仿宋_GB2312" w:hAnsi="仿宋" w:eastAsia="仿宋_GB2312"/>
                <w:sz w:val="32"/>
                <w:szCs w:val="32"/>
              </w:rPr>
            </w:pPr>
          </w:p>
        </w:tc>
        <w:tc>
          <w:tcPr>
            <w:tcW w:w="716" w:type="dxa"/>
            <w:vAlign w:val="center"/>
          </w:tcPr>
          <w:p>
            <w:pPr>
              <w:spacing w:line="579" w:lineRule="exact"/>
              <w:ind w:firstLine="640" w:firstLineChars="200"/>
              <w:jc w:val="both"/>
              <w:rPr>
                <w:rFonts w:ascii="仿宋_GB2312" w:hAnsi="仿宋" w:eastAsia="仿宋_GB2312"/>
                <w:sz w:val="32"/>
                <w:szCs w:val="32"/>
              </w:rPr>
            </w:pPr>
          </w:p>
        </w:tc>
        <w:tc>
          <w:tcPr>
            <w:tcW w:w="721" w:type="dxa"/>
            <w:vAlign w:val="center"/>
          </w:tcPr>
          <w:p>
            <w:pPr>
              <w:spacing w:line="579" w:lineRule="exact"/>
              <w:ind w:firstLine="640" w:firstLineChars="200"/>
              <w:jc w:val="both"/>
              <w:rPr>
                <w:rFonts w:ascii="仿宋_GB2312" w:hAnsi="仿宋" w:eastAsia="仿宋_GB2312"/>
                <w:sz w:val="32"/>
                <w:szCs w:val="32"/>
              </w:rPr>
            </w:pPr>
          </w:p>
        </w:tc>
        <w:tc>
          <w:tcPr>
            <w:tcW w:w="718" w:type="dxa"/>
            <w:vAlign w:val="center"/>
          </w:tcPr>
          <w:p>
            <w:pPr>
              <w:spacing w:line="579" w:lineRule="exact"/>
              <w:ind w:firstLine="640" w:firstLineChars="200"/>
              <w:jc w:val="both"/>
              <w:rPr>
                <w:rFonts w:ascii="仿宋_GB2312" w:hAnsi="仿宋" w:eastAsia="仿宋_GB2312"/>
                <w:sz w:val="32"/>
                <w:szCs w:val="32"/>
              </w:rPr>
            </w:pPr>
          </w:p>
        </w:tc>
        <w:tc>
          <w:tcPr>
            <w:tcW w:w="721" w:type="dxa"/>
            <w:vAlign w:val="center"/>
          </w:tcPr>
          <w:p>
            <w:pPr>
              <w:spacing w:line="579" w:lineRule="exact"/>
              <w:ind w:firstLine="640" w:firstLineChars="200"/>
              <w:jc w:val="both"/>
              <w:rPr>
                <w:rFonts w:ascii="仿宋_GB2312" w:hAnsi="仿宋" w:eastAsia="仿宋_GB2312"/>
                <w:sz w:val="32"/>
                <w:szCs w:val="32"/>
              </w:rPr>
            </w:pPr>
          </w:p>
        </w:tc>
        <w:tc>
          <w:tcPr>
            <w:tcW w:w="718" w:type="dxa"/>
            <w:vAlign w:val="center"/>
          </w:tcPr>
          <w:p>
            <w:pPr>
              <w:spacing w:line="579" w:lineRule="exact"/>
              <w:ind w:firstLine="640" w:firstLineChars="200"/>
              <w:jc w:val="both"/>
              <w:rPr>
                <w:rFonts w:ascii="仿宋_GB2312" w:hAnsi="仿宋" w:eastAsia="仿宋_GB2312"/>
                <w:sz w:val="32"/>
                <w:szCs w:val="32"/>
              </w:rPr>
            </w:pPr>
          </w:p>
        </w:tc>
        <w:tc>
          <w:tcPr>
            <w:tcW w:w="721" w:type="dxa"/>
            <w:vAlign w:val="center"/>
          </w:tcPr>
          <w:p>
            <w:pPr>
              <w:spacing w:line="579" w:lineRule="exact"/>
              <w:ind w:firstLine="640" w:firstLineChars="200"/>
              <w:jc w:val="both"/>
              <w:rPr>
                <w:rFonts w:ascii="仿宋_GB2312" w:hAnsi="仿宋" w:eastAsia="仿宋_GB2312"/>
                <w:sz w:val="32"/>
                <w:szCs w:val="32"/>
              </w:rPr>
            </w:pPr>
          </w:p>
        </w:tc>
        <w:tc>
          <w:tcPr>
            <w:tcW w:w="1338" w:type="dxa"/>
            <w:vAlign w:val="center"/>
          </w:tcPr>
          <w:p>
            <w:pPr>
              <w:spacing w:line="579" w:lineRule="exact"/>
              <w:ind w:firstLine="640" w:firstLineChars="200"/>
              <w:jc w:val="both"/>
              <w:rPr>
                <w:rFonts w:ascii="仿宋_GB2312" w:hAnsi="仿宋" w:eastAsia="仿宋_GB2312"/>
                <w:sz w:val="32"/>
                <w:szCs w:val="32"/>
              </w:rPr>
            </w:pPr>
          </w:p>
        </w:tc>
        <w:tc>
          <w:tcPr>
            <w:tcW w:w="1377" w:type="dxa"/>
            <w:vAlign w:val="center"/>
          </w:tcPr>
          <w:p>
            <w:pPr>
              <w:spacing w:line="579" w:lineRule="exact"/>
              <w:ind w:firstLine="640" w:firstLineChars="200"/>
              <w:jc w:val="both"/>
              <w:rPr>
                <w:rFonts w:ascii="仿宋_GB2312" w:hAnsi="仿宋" w:eastAsia="仿宋_GB2312"/>
                <w:sz w:val="32"/>
                <w:szCs w:val="32"/>
              </w:rPr>
            </w:pPr>
          </w:p>
        </w:tc>
      </w:tr>
    </w:tbl>
    <w:p>
      <w:pPr>
        <w:spacing w:line="579" w:lineRule="exact"/>
        <w:ind w:firstLine="600" w:firstLineChars="200"/>
        <w:jc w:val="both"/>
        <w:rPr>
          <w:rFonts w:ascii="仿宋_GB2312" w:hAnsi="仿宋" w:eastAsia="仿宋_GB2312"/>
          <w:sz w:val="30"/>
          <w:szCs w:val="30"/>
        </w:rPr>
      </w:pPr>
      <w:r>
        <w:rPr>
          <w:rFonts w:hint="eastAsia" w:ascii="仿宋_GB2312" w:eastAsia="仿宋_GB2312"/>
          <w:color w:val="333333"/>
          <w:sz w:val="30"/>
          <w:szCs w:val="30"/>
        </w:rPr>
        <w:t>村委会（盖章）：     村级负责人（签字、联系电话）</w:t>
      </w:r>
    </w:p>
    <w:sectPr>
      <w:footerReference r:id="rId3" w:type="default"/>
      <w:pgSz w:w="11906" w:h="16838"/>
      <w:pgMar w:top="2098" w:right="1474" w:bottom="1984" w:left="158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3073" o:spid="_x0000_s3073" o:spt="202" type="#_x0000_t202" style="position:absolute;left:0pt;margin-top:-12pt;height:22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w:txbxContent>
              <w:sdt>
                <w:sdtPr>
                  <w:id w:val="10283157"/>
                </w:sdtPr>
                <w:sdtContent>
                  <w:p>
                    <w:pPr>
                      <w:pStyle w:val="9"/>
                      <w:jc w:val="cente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lang w:val="zh-CN"/>
                      </w:rPr>
                      <w:t>34</w:t>
                    </w:r>
                    <w:r>
                      <w:rPr>
                        <w:rFonts w:hint="eastAsia" w:asciiTheme="minorEastAsia" w:hAnsiTheme="minorEastAsia" w:eastAsiaTheme="minorEastAsia" w:cstheme="minorEastAsia"/>
                        <w:sz w:val="28"/>
                        <w:szCs w:val="28"/>
                        <w:lang w:val="zh-CN"/>
                      </w:rPr>
                      <w:fldChar w:fldCharType="end"/>
                    </w:r>
                    <w:r>
                      <w:rPr>
                        <w:rFonts w:hint="eastAsia" w:asciiTheme="minorEastAsia" w:hAnsiTheme="minorEastAsia" w:eastAsiaTheme="minorEastAsia" w:cstheme="minorEastAsia"/>
                        <w:sz w:val="28"/>
                        <w:szCs w:val="28"/>
                        <w:lang w:val="zh-CN"/>
                      </w:rPr>
                      <w:t>—</w:t>
                    </w:r>
                  </w:p>
                </w:sdtContent>
              </w:sdt>
              <w:p/>
            </w:txbxContent>
          </v:textbox>
        </v:shape>
      </w:pict>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E4BBA"/>
    <w:rsid w:val="00014D9F"/>
    <w:rsid w:val="00020227"/>
    <w:rsid w:val="000216B3"/>
    <w:rsid w:val="000B6FCC"/>
    <w:rsid w:val="0015320F"/>
    <w:rsid w:val="00184E7B"/>
    <w:rsid w:val="001859F3"/>
    <w:rsid w:val="001E4BBA"/>
    <w:rsid w:val="001E6C12"/>
    <w:rsid w:val="00201D47"/>
    <w:rsid w:val="00212691"/>
    <w:rsid w:val="0021454A"/>
    <w:rsid w:val="002275E7"/>
    <w:rsid w:val="00230054"/>
    <w:rsid w:val="002554C7"/>
    <w:rsid w:val="0027750F"/>
    <w:rsid w:val="00284DB3"/>
    <w:rsid w:val="0029048D"/>
    <w:rsid w:val="00387706"/>
    <w:rsid w:val="00391D7E"/>
    <w:rsid w:val="003B0657"/>
    <w:rsid w:val="003C3BB7"/>
    <w:rsid w:val="003F1511"/>
    <w:rsid w:val="00416E40"/>
    <w:rsid w:val="0042483E"/>
    <w:rsid w:val="004548C9"/>
    <w:rsid w:val="00461D83"/>
    <w:rsid w:val="004B1A7F"/>
    <w:rsid w:val="004B7B50"/>
    <w:rsid w:val="004C0A51"/>
    <w:rsid w:val="004D7232"/>
    <w:rsid w:val="004E7D63"/>
    <w:rsid w:val="00500EF8"/>
    <w:rsid w:val="0050556B"/>
    <w:rsid w:val="00514941"/>
    <w:rsid w:val="0057229D"/>
    <w:rsid w:val="005876A7"/>
    <w:rsid w:val="005C5393"/>
    <w:rsid w:val="005F6CF8"/>
    <w:rsid w:val="00616CE0"/>
    <w:rsid w:val="006A3ED3"/>
    <w:rsid w:val="00753517"/>
    <w:rsid w:val="007654F7"/>
    <w:rsid w:val="0078214C"/>
    <w:rsid w:val="007F4AF3"/>
    <w:rsid w:val="008040D1"/>
    <w:rsid w:val="00844E6C"/>
    <w:rsid w:val="0085071C"/>
    <w:rsid w:val="00865EA8"/>
    <w:rsid w:val="008A71CE"/>
    <w:rsid w:val="008C0D91"/>
    <w:rsid w:val="008D353A"/>
    <w:rsid w:val="00925774"/>
    <w:rsid w:val="009343D9"/>
    <w:rsid w:val="00950FD9"/>
    <w:rsid w:val="00972771"/>
    <w:rsid w:val="009840C5"/>
    <w:rsid w:val="009C3E23"/>
    <w:rsid w:val="009E02F8"/>
    <w:rsid w:val="009E211B"/>
    <w:rsid w:val="00A015FD"/>
    <w:rsid w:val="00A33E27"/>
    <w:rsid w:val="00A3594F"/>
    <w:rsid w:val="00A60797"/>
    <w:rsid w:val="00A93D2B"/>
    <w:rsid w:val="00B24B52"/>
    <w:rsid w:val="00B4324A"/>
    <w:rsid w:val="00B47BBD"/>
    <w:rsid w:val="00B562D3"/>
    <w:rsid w:val="00B723A4"/>
    <w:rsid w:val="00B9645E"/>
    <w:rsid w:val="00BA0484"/>
    <w:rsid w:val="00BC72C5"/>
    <w:rsid w:val="00C011BE"/>
    <w:rsid w:val="00C04300"/>
    <w:rsid w:val="00C54CCF"/>
    <w:rsid w:val="00C55BF3"/>
    <w:rsid w:val="00C67869"/>
    <w:rsid w:val="00C91D49"/>
    <w:rsid w:val="00D01B1C"/>
    <w:rsid w:val="00D416B1"/>
    <w:rsid w:val="00D65A31"/>
    <w:rsid w:val="00D833E3"/>
    <w:rsid w:val="00DC1921"/>
    <w:rsid w:val="00E034AB"/>
    <w:rsid w:val="00E30F9E"/>
    <w:rsid w:val="00E6250E"/>
    <w:rsid w:val="00E62FD3"/>
    <w:rsid w:val="00E8570D"/>
    <w:rsid w:val="00EB11E9"/>
    <w:rsid w:val="00EC464D"/>
    <w:rsid w:val="00EE7633"/>
    <w:rsid w:val="00F4014D"/>
    <w:rsid w:val="00F44BFD"/>
    <w:rsid w:val="00F52744"/>
    <w:rsid w:val="00F571C7"/>
    <w:rsid w:val="00FA2D14"/>
    <w:rsid w:val="00FA6C45"/>
    <w:rsid w:val="00FE4B51"/>
    <w:rsid w:val="11F58636"/>
    <w:rsid w:val="35115BA1"/>
    <w:rsid w:val="397D44D4"/>
    <w:rsid w:val="3FAD29F6"/>
    <w:rsid w:val="431C5837"/>
    <w:rsid w:val="442A3A79"/>
    <w:rsid w:val="4BB27B72"/>
    <w:rsid w:val="4D9A4170"/>
    <w:rsid w:val="57FDD419"/>
    <w:rsid w:val="620155B8"/>
    <w:rsid w:val="70EA4349"/>
    <w:rsid w:val="77E849F9"/>
    <w:rsid w:val="7CFE4993"/>
    <w:rsid w:val="7DC369D5"/>
    <w:rsid w:val="FBF3FDA0"/>
    <w:rsid w:val="FDC1A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styleId="4">
    <w:name w:val="heading 1"/>
    <w:basedOn w:val="1"/>
    <w:next w:val="1"/>
    <w:link w:val="17"/>
    <w:qFormat/>
    <w:uiPriority w:val="9"/>
    <w:pPr>
      <w:keepNext/>
      <w:keepLines/>
      <w:spacing w:line="576" w:lineRule="auto"/>
      <w:outlineLvl w:val="0"/>
    </w:pPr>
    <w:rPr>
      <w:b/>
      <w:kern w:val="44"/>
      <w:sz w:val="36"/>
    </w:rPr>
  </w:style>
  <w:style w:type="paragraph" w:styleId="5">
    <w:name w:val="heading 2"/>
    <w:basedOn w:val="1"/>
    <w:next w:val="1"/>
    <w:link w:val="18"/>
    <w:qFormat/>
    <w:uiPriority w:val="0"/>
    <w:pPr>
      <w:keepNext/>
      <w:keepLines/>
      <w:snapToGrid w:val="0"/>
      <w:spacing w:beforeLines="100" w:afterLines="50"/>
      <w:outlineLvl w:val="1"/>
    </w:pPr>
    <w:rPr>
      <w:rFonts w:eastAsia="黑体"/>
      <w:bCs/>
      <w:sz w:val="32"/>
      <w:szCs w:val="32"/>
    </w:rPr>
  </w:style>
  <w:style w:type="paragraph" w:styleId="6">
    <w:name w:val="heading 3"/>
    <w:basedOn w:val="1"/>
    <w:next w:val="1"/>
    <w:link w:val="19"/>
    <w:unhideWhenUsed/>
    <w:qFormat/>
    <w:uiPriority w:val="9"/>
    <w:pPr>
      <w:keepNext/>
      <w:keepLines/>
      <w:spacing w:line="413" w:lineRule="auto"/>
      <w:outlineLvl w:val="2"/>
    </w:pPr>
    <w:rPr>
      <w:b/>
      <w:sz w:val="30"/>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ind w:firstLine="420" w:firstLineChars="200"/>
    </w:pPr>
  </w:style>
  <w:style w:type="paragraph" w:styleId="3">
    <w:name w:val="Body Text Indent"/>
    <w:basedOn w:val="1"/>
    <w:qFormat/>
    <w:uiPriority w:val="0"/>
    <w:pPr>
      <w:ind w:left="420" w:leftChars="200"/>
    </w:pPr>
    <w:rPr>
      <w:kern w:val="2"/>
      <w:sz w:val="21"/>
    </w:rPr>
  </w:style>
  <w:style w:type="paragraph" w:styleId="7">
    <w:name w:val="Date"/>
    <w:basedOn w:val="1"/>
    <w:next w:val="1"/>
    <w:link w:val="29"/>
    <w:semiHidden/>
    <w:unhideWhenUsed/>
    <w:qFormat/>
    <w:uiPriority w:val="99"/>
    <w:pPr>
      <w:ind w:left="100" w:leftChars="2500"/>
    </w:pPr>
  </w:style>
  <w:style w:type="paragraph" w:styleId="8">
    <w:name w:val="Balloon Text"/>
    <w:basedOn w:val="1"/>
    <w:link w:val="25"/>
    <w:semiHidden/>
    <w:unhideWhenUsed/>
    <w:qFormat/>
    <w:uiPriority w:val="99"/>
    <w:rPr>
      <w:sz w:val="18"/>
      <w:szCs w:val="18"/>
    </w:rPr>
  </w:style>
  <w:style w:type="paragraph" w:styleId="9">
    <w:name w:val="footer"/>
    <w:basedOn w:val="1"/>
    <w:link w:val="21"/>
    <w:unhideWhenUsed/>
    <w:qFormat/>
    <w:uiPriority w:val="0"/>
    <w:pPr>
      <w:tabs>
        <w:tab w:val="center" w:pos="4153"/>
        <w:tab w:val="right" w:pos="8306"/>
      </w:tabs>
      <w:autoSpaceDE/>
      <w:autoSpaceDN/>
      <w:adjustRightInd/>
      <w:snapToGrid w:val="0"/>
    </w:pPr>
    <w:rPr>
      <w:rFonts w:ascii="Times New Roman" w:hAnsi="Times New Roman" w:cs="Times New Roman"/>
      <w:sz w:val="18"/>
      <w:szCs w:val="18"/>
    </w:rPr>
  </w:style>
  <w:style w:type="paragraph" w:styleId="10">
    <w:name w:val="header"/>
    <w:basedOn w:val="1"/>
    <w:link w:val="20"/>
    <w:unhideWhenUsed/>
    <w:qFormat/>
    <w:uiPriority w:val="0"/>
    <w:pPr>
      <w:pBdr>
        <w:bottom w:val="single" w:color="auto" w:sz="6" w:space="1"/>
      </w:pBdr>
      <w:tabs>
        <w:tab w:val="center" w:pos="4153"/>
        <w:tab w:val="right" w:pos="8306"/>
      </w:tabs>
      <w:autoSpaceDE/>
      <w:autoSpaceDN/>
      <w:adjustRightInd/>
      <w:snapToGrid w:val="0"/>
      <w:jc w:val="center"/>
    </w:pPr>
    <w:rPr>
      <w:rFonts w:ascii="Times New Roman" w:hAnsi="Times New Roman" w:cs="Times New Roman"/>
      <w:sz w:val="18"/>
      <w:szCs w:val="18"/>
    </w:rPr>
  </w:style>
  <w:style w:type="paragraph" w:styleId="11">
    <w:name w:val="toc 1"/>
    <w:basedOn w:val="1"/>
    <w:next w:val="1"/>
    <w:qFormat/>
    <w:uiPriority w:val="39"/>
    <w:pPr>
      <w:autoSpaceDE/>
      <w:autoSpaceDN/>
      <w:adjustRightInd/>
      <w:ind w:firstLine="420" w:firstLineChars="200"/>
      <w:jc w:val="both"/>
    </w:pPr>
    <w:rPr>
      <w:rFonts w:ascii="Times New Roman" w:hAnsi="Times New Roman" w:cs="Times New Roman"/>
      <w:kern w:val="2"/>
      <w:sz w:val="21"/>
      <w:szCs w:val="22"/>
    </w:rPr>
  </w:style>
  <w:style w:type="paragraph" w:styleId="12">
    <w:name w:val="toc 2"/>
    <w:basedOn w:val="1"/>
    <w:next w:val="1"/>
    <w:qFormat/>
    <w:uiPriority w:val="39"/>
    <w:pPr>
      <w:autoSpaceDE/>
      <w:autoSpaceDN/>
      <w:adjustRightInd/>
      <w:ind w:left="420" w:leftChars="200" w:firstLine="420" w:firstLineChars="200"/>
      <w:jc w:val="both"/>
    </w:pPr>
    <w:rPr>
      <w:rFonts w:ascii="Times New Roman" w:hAnsi="Times New Roman" w:cs="Times New Roman"/>
      <w:kern w:val="2"/>
      <w:sz w:val="21"/>
      <w:szCs w:val="22"/>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customStyle="1" w:styleId="17">
    <w:name w:val="标题 1 Char"/>
    <w:basedOn w:val="15"/>
    <w:link w:val="4"/>
    <w:qFormat/>
    <w:uiPriority w:val="9"/>
    <w:rPr>
      <w:rFonts w:ascii="宋体" w:hAnsi="宋体" w:cs="宋体"/>
      <w:b/>
      <w:kern w:val="44"/>
      <w:sz w:val="36"/>
      <w:szCs w:val="24"/>
    </w:rPr>
  </w:style>
  <w:style w:type="character" w:customStyle="1" w:styleId="18">
    <w:name w:val="标题 2 Char"/>
    <w:basedOn w:val="15"/>
    <w:link w:val="5"/>
    <w:qFormat/>
    <w:uiPriority w:val="0"/>
    <w:rPr>
      <w:rFonts w:ascii="宋体" w:hAnsi="宋体" w:eastAsia="黑体" w:cs="宋体"/>
      <w:bCs/>
      <w:sz w:val="32"/>
      <w:szCs w:val="32"/>
    </w:rPr>
  </w:style>
  <w:style w:type="character" w:customStyle="1" w:styleId="19">
    <w:name w:val="标题 3 Char"/>
    <w:basedOn w:val="15"/>
    <w:link w:val="6"/>
    <w:qFormat/>
    <w:uiPriority w:val="9"/>
    <w:rPr>
      <w:rFonts w:ascii="宋体" w:hAnsi="宋体" w:cs="宋体"/>
      <w:b/>
      <w:sz w:val="30"/>
      <w:szCs w:val="24"/>
    </w:rPr>
  </w:style>
  <w:style w:type="character" w:customStyle="1" w:styleId="20">
    <w:name w:val="页眉 Char"/>
    <w:basedOn w:val="15"/>
    <w:link w:val="10"/>
    <w:qFormat/>
    <w:uiPriority w:val="0"/>
    <w:rPr>
      <w:sz w:val="18"/>
      <w:szCs w:val="18"/>
    </w:rPr>
  </w:style>
  <w:style w:type="character" w:customStyle="1" w:styleId="21">
    <w:name w:val="页脚 Char"/>
    <w:basedOn w:val="15"/>
    <w:link w:val="9"/>
    <w:qFormat/>
    <w:uiPriority w:val="0"/>
    <w:rPr>
      <w:sz w:val="18"/>
      <w:szCs w:val="18"/>
    </w:rPr>
  </w:style>
  <w:style w:type="character" w:customStyle="1" w:styleId="22">
    <w:name w:val="font11"/>
    <w:basedOn w:val="15"/>
    <w:qFormat/>
    <w:uiPriority w:val="0"/>
    <w:rPr>
      <w:rFonts w:hint="eastAsia" w:ascii="仿宋" w:hAnsi="仿宋" w:eastAsia="仿宋" w:cs="仿宋"/>
      <w:color w:val="FF0000"/>
      <w:sz w:val="32"/>
      <w:szCs w:val="32"/>
      <w:u w:val="none"/>
    </w:rPr>
  </w:style>
  <w:style w:type="character" w:customStyle="1" w:styleId="23">
    <w:name w:val="font31"/>
    <w:basedOn w:val="15"/>
    <w:qFormat/>
    <w:uiPriority w:val="0"/>
    <w:rPr>
      <w:rFonts w:hint="eastAsia" w:ascii="仿宋" w:hAnsi="仿宋" w:eastAsia="仿宋" w:cs="仿宋"/>
      <w:color w:val="000000"/>
      <w:sz w:val="36"/>
      <w:szCs w:val="36"/>
      <w:u w:val="none"/>
    </w:rPr>
  </w:style>
  <w:style w:type="character" w:customStyle="1" w:styleId="24">
    <w:name w:val="font01"/>
    <w:basedOn w:val="15"/>
    <w:qFormat/>
    <w:uiPriority w:val="0"/>
    <w:rPr>
      <w:rFonts w:hint="eastAsia" w:ascii="仿宋" w:hAnsi="仿宋" w:eastAsia="仿宋" w:cs="仿宋"/>
      <w:color w:val="000000"/>
      <w:sz w:val="36"/>
      <w:szCs w:val="36"/>
      <w:u w:val="single"/>
    </w:rPr>
  </w:style>
  <w:style w:type="character" w:customStyle="1" w:styleId="25">
    <w:name w:val="批注框文本 Char"/>
    <w:basedOn w:val="15"/>
    <w:link w:val="8"/>
    <w:semiHidden/>
    <w:qFormat/>
    <w:uiPriority w:val="99"/>
    <w:rPr>
      <w:rFonts w:ascii="宋体" w:hAnsi="宋体" w:cs="宋体"/>
      <w:sz w:val="18"/>
      <w:szCs w:val="18"/>
    </w:rPr>
  </w:style>
  <w:style w:type="paragraph" w:customStyle="1" w:styleId="26">
    <w:name w:val="正文一"/>
    <w:basedOn w:val="1"/>
    <w:qFormat/>
    <w:uiPriority w:val="0"/>
    <w:pPr>
      <w:autoSpaceDE/>
      <w:autoSpaceDN/>
      <w:adjustRightInd/>
      <w:spacing w:line="600" w:lineRule="exact"/>
      <w:ind w:firstLine="1120" w:firstLineChars="200"/>
      <w:jc w:val="both"/>
    </w:pPr>
    <w:rPr>
      <w:rFonts w:ascii="Times New Roman" w:hAnsi="Times New Roman" w:cs="Times New Roman"/>
      <w:kern w:val="2"/>
      <w:sz w:val="28"/>
      <w:szCs w:val="28"/>
    </w:rPr>
  </w:style>
  <w:style w:type="paragraph" w:styleId="27">
    <w:name w:val="No Spacing"/>
    <w:link w:val="28"/>
    <w:qFormat/>
    <w:uiPriority w:val="1"/>
    <w:rPr>
      <w:rFonts w:asciiTheme="minorHAnsi" w:hAnsiTheme="minorHAnsi" w:eastAsiaTheme="minorEastAsia" w:cstheme="minorBidi"/>
      <w:sz w:val="22"/>
      <w:szCs w:val="22"/>
      <w:lang w:val="en-US" w:eastAsia="zh-CN" w:bidi="ar-SA"/>
    </w:rPr>
  </w:style>
  <w:style w:type="character" w:customStyle="1" w:styleId="28">
    <w:name w:val="无间隔 Char"/>
    <w:basedOn w:val="15"/>
    <w:link w:val="27"/>
    <w:qFormat/>
    <w:uiPriority w:val="1"/>
    <w:rPr>
      <w:rFonts w:asciiTheme="minorHAnsi" w:hAnsiTheme="minorHAnsi" w:eastAsiaTheme="minorEastAsia" w:cstheme="minorBidi"/>
      <w:sz w:val="22"/>
      <w:szCs w:val="22"/>
    </w:rPr>
  </w:style>
  <w:style w:type="character" w:customStyle="1" w:styleId="29">
    <w:name w:val="日期 Char"/>
    <w:basedOn w:val="15"/>
    <w:link w:val="7"/>
    <w:semiHidden/>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2418</Words>
  <Characters>13785</Characters>
  <Lines>114</Lines>
  <Paragraphs>32</Paragraphs>
  <TotalTime>46</TotalTime>
  <ScaleCrop>false</ScaleCrop>
  <LinksUpToDate>false</LinksUpToDate>
  <CharactersWithSpaces>16171</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2021-04-13T01:20:00Z</dcterms:created>
  <dc:creator>Windows 用户</dc:creator>
  <cp:lastModifiedBy>administrator</cp:lastModifiedBy>
  <cp:lastPrinted>2021-04-21T08:41:00Z</cp:lastPrinted>
  <dcterms:modified xsi:type="dcterms:W3CDTF">2021-04-23T15:30:08Z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