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ascii="仿宋_GB2312" w:hAnsi="仿宋" w:eastAsia="仿宋_GB2312"/>
          <w:sz w:val="32"/>
          <w:szCs w:val="32"/>
        </w:rPr>
      </w:pPr>
      <w:r>
        <w:rPr>
          <w:rFonts w:hint="eastAsia" w:ascii="黑体" w:hAnsi="黑体" w:eastAsia="黑体" w:cs="黑体"/>
          <w:sz w:val="32"/>
          <w:szCs w:val="32"/>
        </w:rPr>
        <w:t>附件2</w:t>
      </w:r>
    </w:p>
    <w:p>
      <w:pPr>
        <w:spacing w:line="579" w:lineRule="exact"/>
        <w:ind w:firstLine="642" w:firstLineChars="200"/>
        <w:jc w:val="both"/>
        <w:rPr>
          <w:rFonts w:ascii="仿宋_GB2312" w:eastAsia="仿宋_GB2312" w:hAnsiTheme="majorEastAsia"/>
          <w:b/>
          <w:color w:val="000000"/>
          <w:sz w:val="32"/>
          <w:szCs w:val="32"/>
        </w:rPr>
      </w:pPr>
    </w:p>
    <w:p>
      <w:pPr>
        <w:spacing w:line="579" w:lineRule="exact"/>
        <w:jc w:val="center"/>
        <w:rPr>
          <w:rFonts w:ascii="方正小标宋简体" w:hAnsi="方正小标宋简体" w:eastAsia="方正小标宋简体" w:cs="方正小标宋简体"/>
          <w:bCs/>
          <w:color w:val="000000"/>
          <w:sz w:val="44"/>
          <w:szCs w:val="44"/>
        </w:rPr>
      </w:pPr>
      <w:bookmarkStart w:id="0" w:name="_GoBack"/>
      <w:r>
        <w:rPr>
          <w:rFonts w:hint="eastAsia" w:ascii="方正小标宋简体" w:hAnsi="方正小标宋简体" w:eastAsia="方正小标宋简体" w:cs="方正小标宋简体"/>
          <w:bCs/>
          <w:color w:val="000000"/>
          <w:sz w:val="44"/>
          <w:szCs w:val="44"/>
        </w:rPr>
        <w:t>封丘县秸秆收贮利用奖补验收考核办法</w:t>
      </w:r>
    </w:p>
    <w:bookmarkEnd w:id="0"/>
    <w:p>
      <w:pPr>
        <w:spacing w:line="579" w:lineRule="exact"/>
        <w:jc w:val="both"/>
        <w:rPr>
          <w:rFonts w:ascii="仿宋_GB2312" w:eastAsia="仿宋_GB2312" w:hAnsiTheme="majorEastAsia"/>
          <w:b/>
          <w:color w:val="000000"/>
          <w:sz w:val="32"/>
          <w:szCs w:val="32"/>
        </w:rPr>
      </w:pPr>
    </w:p>
    <w:p>
      <w:pPr>
        <w:spacing w:line="579"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一、考核兑付程序</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由收贮点 (秸秆收贮或加工利用企业、站点、农机合作社等)提出书面申请，报县农业农村局。根据收贮点提供的资料，由第三方进行现场核查并审核相关资料，农业农村局进行督查。考核结果在政府门户网站上公示无疑异后，拨付财政补贴资金。</w:t>
      </w:r>
    </w:p>
    <w:p>
      <w:pPr>
        <w:spacing w:line="579"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二、考核要求</w:t>
      </w:r>
    </w:p>
    <w:p>
      <w:pPr>
        <w:spacing w:line="579" w:lineRule="exact"/>
        <w:ind w:firstLine="642" w:firstLineChars="200"/>
        <w:jc w:val="both"/>
        <w:rPr>
          <w:rFonts w:ascii="楷体" w:hAnsi="楷体" w:eastAsia="楷体" w:cs="楷体"/>
          <w:b/>
          <w:bCs/>
          <w:sz w:val="32"/>
          <w:szCs w:val="32"/>
        </w:rPr>
      </w:pPr>
      <w:r>
        <w:rPr>
          <w:rFonts w:hint="eastAsia" w:ascii="楷体" w:hAnsi="楷体" w:eastAsia="楷体" w:cs="楷体"/>
          <w:b/>
          <w:bCs/>
          <w:sz w:val="32"/>
          <w:szCs w:val="32"/>
        </w:rPr>
        <w:t>(一)对新建收贮点建设补助的考核</w:t>
      </w:r>
    </w:p>
    <w:p>
      <w:pPr>
        <w:spacing w:line="579" w:lineRule="exact"/>
        <w:ind w:firstLine="642" w:firstLineChars="200"/>
        <w:jc w:val="both"/>
        <w:rPr>
          <w:rFonts w:ascii="仿宋_GB2312" w:hAnsi="仿宋" w:eastAsia="仿宋_GB2312"/>
          <w:sz w:val="32"/>
          <w:szCs w:val="32"/>
        </w:rPr>
      </w:pPr>
      <w:r>
        <w:rPr>
          <w:rFonts w:hint="eastAsia" w:ascii="仿宋_GB2312" w:hAnsi="仿宋" w:eastAsia="仿宋_GB2312"/>
          <w:b/>
          <w:bCs/>
          <w:color w:val="000000"/>
          <w:sz w:val="32"/>
          <w:szCs w:val="32"/>
        </w:rPr>
        <w:t>1.考核奖补标准条件：</w:t>
      </w:r>
      <w:r>
        <w:rPr>
          <w:rFonts w:hint="eastAsia" w:ascii="仿宋_GB2312" w:hAnsi="仿宋" w:eastAsia="仿宋_GB2312"/>
          <w:color w:val="000000"/>
          <w:sz w:val="32"/>
          <w:szCs w:val="32"/>
        </w:rPr>
        <w:t>新建收贮点以秸秆收贮为主，年收贮量达2000吨（麦秸秆至少800吨）以上（凭销售正式发票和银行流水），收贮点占地面积25亩以上，固定资产投资总额不少于50万元，且正常运营，验收合格，每个一次性补助不超25万元。</w:t>
      </w:r>
      <w:r>
        <w:rPr>
          <w:rFonts w:hint="eastAsia" w:ascii="仿宋_GB2312" w:hAnsi="仿宋" w:eastAsia="仿宋_GB2312"/>
          <w:sz w:val="32"/>
          <w:szCs w:val="32"/>
        </w:rPr>
        <w:t>此项总奖补资金控制在500万元内。</w:t>
      </w:r>
    </w:p>
    <w:p>
      <w:pPr>
        <w:spacing w:line="579" w:lineRule="exact"/>
        <w:ind w:firstLine="642" w:firstLineChars="200"/>
        <w:jc w:val="both"/>
        <w:rPr>
          <w:rFonts w:ascii="仿宋_GB2312" w:hAnsi="仿宋" w:eastAsia="仿宋_GB2312"/>
          <w:b/>
          <w:bCs/>
          <w:color w:val="000000"/>
          <w:sz w:val="32"/>
          <w:szCs w:val="32"/>
        </w:rPr>
      </w:pPr>
      <w:r>
        <w:rPr>
          <w:rFonts w:hint="eastAsia" w:ascii="仿宋_GB2312" w:hAnsi="仿宋" w:eastAsia="仿宋_GB2312"/>
          <w:b/>
          <w:bCs/>
          <w:color w:val="000000"/>
          <w:sz w:val="32"/>
          <w:szCs w:val="32"/>
        </w:rPr>
        <w:t>2.考核时需提供的材料：</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(1)收贮点建设实施方案、实施总结、用地手续。</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(2)设备购置发票及协议，土建工程施工合同、工程决算、工程造价第三方审计（农业农村局认可），会计核算的凭证帐册等。</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(3)收贮点平面布置图。</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(4)秸秆销售正式发票和银行流水等。</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(5)秸秆收贮面积村级确认统计表（附后）。</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(6)符合补助要求的具有法律效力的审计报告。</w:t>
      </w:r>
    </w:p>
    <w:p>
      <w:pPr>
        <w:spacing w:line="579" w:lineRule="exact"/>
        <w:ind w:firstLine="642" w:firstLineChars="200"/>
        <w:jc w:val="both"/>
        <w:rPr>
          <w:rFonts w:ascii="楷体" w:hAnsi="楷体" w:eastAsia="楷体" w:cs="楷体"/>
          <w:b/>
          <w:bCs/>
          <w:sz w:val="32"/>
          <w:szCs w:val="32"/>
        </w:rPr>
      </w:pPr>
      <w:r>
        <w:rPr>
          <w:rFonts w:hint="eastAsia" w:ascii="楷体" w:hAnsi="楷体" w:eastAsia="楷体" w:cs="楷体"/>
          <w:b/>
          <w:bCs/>
          <w:sz w:val="32"/>
          <w:szCs w:val="32"/>
        </w:rPr>
        <w:t>(二) 对原有收贮点的考核</w:t>
      </w:r>
    </w:p>
    <w:p>
      <w:pPr>
        <w:spacing w:line="579" w:lineRule="exact"/>
        <w:ind w:firstLine="642" w:firstLineChars="200"/>
        <w:jc w:val="both"/>
        <w:rPr>
          <w:rFonts w:ascii="仿宋_GB2312" w:hAnsi="仿宋" w:eastAsia="仿宋_GB2312"/>
          <w:color w:val="000000"/>
          <w:sz w:val="32"/>
          <w:szCs w:val="32"/>
        </w:rPr>
      </w:pPr>
      <w:r>
        <w:rPr>
          <w:rFonts w:hint="eastAsia" w:ascii="仿宋_GB2312" w:hAnsi="仿宋" w:eastAsia="仿宋_GB2312"/>
          <w:b/>
          <w:bCs/>
          <w:color w:val="000000"/>
          <w:sz w:val="32"/>
          <w:szCs w:val="32"/>
        </w:rPr>
        <w:t>1.考核奖补标准条件：</w:t>
      </w:r>
      <w:r>
        <w:rPr>
          <w:rFonts w:hint="eastAsia" w:ascii="仿宋_GB2312" w:hAnsi="仿宋" w:eastAsia="仿宋_GB2312"/>
          <w:color w:val="000000"/>
          <w:sz w:val="32"/>
          <w:szCs w:val="32"/>
        </w:rPr>
        <w:t>对年收贮麦秸秆量达1000吨以上的收贮点进行奖补。 验收合格收贮点平均分配50万元的奖补资金，单个收贮点奖补金额不超过20万元。</w:t>
      </w:r>
      <w:r>
        <w:rPr>
          <w:rFonts w:hint="eastAsia" w:ascii="仿宋_GB2312" w:hAnsi="仿宋" w:eastAsia="仿宋_GB2312"/>
          <w:sz w:val="32"/>
          <w:szCs w:val="32"/>
        </w:rPr>
        <w:t>此项总奖补资金控制在50万元内。</w:t>
      </w:r>
    </w:p>
    <w:p>
      <w:pPr>
        <w:spacing w:line="579" w:lineRule="exact"/>
        <w:ind w:firstLine="642" w:firstLineChars="200"/>
        <w:jc w:val="both"/>
        <w:rPr>
          <w:rFonts w:ascii="仿宋_GB2312" w:hAnsi="仿宋" w:eastAsia="仿宋_GB2312"/>
          <w:b/>
          <w:bCs/>
          <w:color w:val="000000"/>
          <w:sz w:val="32"/>
          <w:szCs w:val="32"/>
        </w:rPr>
      </w:pPr>
      <w:r>
        <w:rPr>
          <w:rFonts w:hint="eastAsia" w:ascii="仿宋_GB2312" w:hAnsi="仿宋" w:eastAsia="仿宋_GB2312"/>
          <w:b/>
          <w:bCs/>
          <w:color w:val="000000"/>
          <w:sz w:val="32"/>
          <w:szCs w:val="32"/>
        </w:rPr>
        <w:t>2.考核时需提供的材料：</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(1)财务资料。包括银行日记账、现金日记账和秸秆购销明细账、销售正式发票、银行收付款凭证等。</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(2)秸秆收购台帐。包括秸秆收购日期、过磅记录明细等（从田头收集秸秆后直接销售到秸秆利用单位的，可以提供对方出具过磅记录明细）。</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(3)秸秆收贮面积村级确认统计表（附后）。</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(4)符合补助要求的具有法律效力的审计报告。</w:t>
      </w:r>
    </w:p>
    <w:p>
      <w:pPr>
        <w:spacing w:line="579" w:lineRule="exact"/>
        <w:ind w:firstLine="642" w:firstLineChars="200"/>
        <w:jc w:val="both"/>
        <w:rPr>
          <w:rFonts w:ascii="楷体" w:hAnsi="楷体" w:eastAsia="楷体" w:cs="楷体"/>
          <w:b/>
          <w:bCs/>
          <w:sz w:val="32"/>
          <w:szCs w:val="32"/>
        </w:rPr>
      </w:pPr>
      <w:r>
        <w:rPr>
          <w:rFonts w:hint="eastAsia" w:ascii="楷体" w:hAnsi="楷体" w:eastAsia="楷体" w:cs="楷体"/>
          <w:b/>
          <w:bCs/>
          <w:sz w:val="32"/>
          <w:szCs w:val="32"/>
        </w:rPr>
        <w:t>(三)肥料化、饲料化、基料化奖补</w:t>
      </w:r>
    </w:p>
    <w:p>
      <w:pPr>
        <w:spacing w:line="579" w:lineRule="exact"/>
        <w:ind w:firstLine="642" w:firstLineChars="200"/>
        <w:jc w:val="both"/>
        <w:rPr>
          <w:rFonts w:ascii="仿宋_GB2312" w:hAnsi="仿宋" w:eastAsia="仿宋_GB2312"/>
          <w:sz w:val="32"/>
          <w:szCs w:val="32"/>
        </w:rPr>
      </w:pPr>
      <w:r>
        <w:rPr>
          <w:rFonts w:hint="eastAsia" w:ascii="仿宋_GB2312" w:hAnsi="仿宋" w:eastAsia="仿宋_GB2312"/>
          <w:b/>
          <w:bCs/>
          <w:color w:val="000000"/>
          <w:sz w:val="32"/>
          <w:szCs w:val="32"/>
        </w:rPr>
        <w:t>1.考核奖补标准条件：</w:t>
      </w:r>
      <w:r>
        <w:rPr>
          <w:rFonts w:hint="eastAsia" w:ascii="仿宋_GB2312" w:hAnsi="仿宋" w:eastAsia="仿宋_GB2312"/>
          <w:sz w:val="32"/>
          <w:szCs w:val="32"/>
        </w:rPr>
        <w:t>对企业利用秸秆生产有机肥的，按每利用1吨秸秆奖补100元标准对企业奖补；对企业利用秸秆生产加工为饲料的(玉米青储饲料除外)，按每利用1吨秸秆奖补100元标准对企业奖补；对企业利用秸秆基料化的，按每利用1吨秸秆奖补100元标准对企业奖补。</w:t>
      </w:r>
    </w:p>
    <w:p>
      <w:pPr>
        <w:spacing w:line="579"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肥料化、饲料化、基料化奖补金额拟228万元，当n个企业肥料化、饲料化、基料化利用秸秆总量未超过22800吨时，按实际利用秸秆量每吨奖补100元；当n个企业肥料化、饲料化、基料化利用秸秆总量超过22800吨时，按每个企业利用秸秆量占比分配228万元奖补资金（如共有A、B、C三个企业涉及此项目，A企业利用秸秆2万吨、B企业利用秸秆3万吨、C企业利用秸秆5万吨，则A企业分配奖补资金的20%，B分配奖补资金的30%，C分配50%）。</w:t>
      </w:r>
    </w:p>
    <w:p>
      <w:pPr>
        <w:spacing w:line="579" w:lineRule="exact"/>
        <w:ind w:firstLine="642" w:firstLineChars="200"/>
        <w:jc w:val="both"/>
        <w:rPr>
          <w:rFonts w:ascii="仿宋_GB2312" w:hAnsi="仿宋" w:eastAsia="仿宋_GB2312"/>
          <w:b/>
          <w:bCs/>
          <w:color w:val="000000"/>
          <w:sz w:val="32"/>
          <w:szCs w:val="32"/>
        </w:rPr>
      </w:pPr>
      <w:r>
        <w:rPr>
          <w:rFonts w:hint="eastAsia" w:ascii="仿宋_GB2312" w:hAnsi="仿宋" w:eastAsia="仿宋_GB2312"/>
          <w:b/>
          <w:bCs/>
          <w:color w:val="000000"/>
          <w:sz w:val="32"/>
          <w:szCs w:val="32"/>
        </w:rPr>
        <w:t>2.考核时需提供的材料：</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(1)财务资料。包括银行日记账、现金日记账和秸秆购销加工明细账，肥料化、饲料化、基料化全年生产销售流水，产品销售正式发票、银行收付款凭证等。</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(2)符合补助要求的具有法律效力的审计报告。</w:t>
      </w:r>
    </w:p>
    <w:p>
      <w:pPr>
        <w:spacing w:line="579" w:lineRule="exact"/>
        <w:ind w:firstLine="642" w:firstLineChars="200"/>
        <w:jc w:val="both"/>
        <w:rPr>
          <w:rFonts w:ascii="楷体" w:hAnsi="楷体" w:eastAsia="楷体" w:cs="楷体"/>
          <w:b/>
          <w:bCs/>
          <w:sz w:val="32"/>
          <w:szCs w:val="32"/>
        </w:rPr>
      </w:pPr>
      <w:r>
        <w:rPr>
          <w:rFonts w:hint="eastAsia" w:ascii="楷体" w:hAnsi="楷体" w:eastAsia="楷体" w:cs="楷体"/>
          <w:b/>
          <w:bCs/>
          <w:sz w:val="32"/>
          <w:szCs w:val="32"/>
        </w:rPr>
        <w:t>（四）购置秸秆综合利用机械的奖补</w:t>
      </w:r>
    </w:p>
    <w:p>
      <w:pPr>
        <w:spacing w:line="579"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计划购置</w:t>
      </w:r>
      <w:r>
        <w:rPr>
          <w:rFonts w:hint="eastAsia" w:ascii="仿宋_GB2312" w:hAnsi="仿宋" w:eastAsia="仿宋_GB2312"/>
          <w:color w:val="000000"/>
          <w:sz w:val="32"/>
          <w:szCs w:val="32"/>
        </w:rPr>
        <w:t>秸秆综合利用机械的，需先将拟购置机械的名称、型号、配置参数、生产厂家及市场价格以纸质表格向秸秆综合利用领导小组办公室报备。</w:t>
      </w:r>
      <w:r>
        <w:rPr>
          <w:rFonts w:hint="eastAsia" w:ascii="仿宋_GB2312" w:hAnsi="仿宋" w:eastAsia="仿宋_GB2312"/>
          <w:sz w:val="32"/>
          <w:szCs w:val="32"/>
        </w:rPr>
        <w:t>对购置的秸秆收贮机械（如打捆机、抓草机等）按不超购置价的50%进行奖补。总额控制在400万元以内，如果购置机械数量较多时，则按实际数量确定奖补比例。</w:t>
      </w:r>
    </w:p>
    <w:p>
      <w:pPr>
        <w:spacing w:line="579"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三、奖补资金兑现</w:t>
      </w:r>
    </w:p>
    <w:p>
      <w:pPr>
        <w:spacing w:line="579" w:lineRule="exact"/>
        <w:ind w:firstLine="640" w:firstLineChars="200"/>
        <w:jc w:val="both"/>
        <w:rPr>
          <w:rFonts w:ascii="仿宋_GB2312" w:eastAsia="仿宋_GB2312"/>
          <w:color w:val="000000"/>
          <w:sz w:val="32"/>
          <w:szCs w:val="32"/>
        </w:rPr>
      </w:pPr>
      <w:r>
        <w:rPr>
          <w:rFonts w:hint="eastAsia" w:ascii="仿宋_GB2312" w:hAnsi="仿宋" w:eastAsia="仿宋_GB2312"/>
          <w:color w:val="000000"/>
          <w:sz w:val="32"/>
          <w:szCs w:val="32"/>
        </w:rPr>
        <w:t>奖补资金一个年度考核二次，考核合格兑付。</w:t>
      </w:r>
    </w:p>
    <w:p>
      <w:pPr>
        <w:spacing w:line="579"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对收贮加工利用外县(市、区)的秸秆一律不予奖补（从外地收的秸秆不计入奖补收贮量）；同一批秸秆只享受一次奖补；项目奖补机械不得重复享受农机购置补贴政策。</w:t>
      </w:r>
    </w:p>
    <w:p>
      <w:pPr>
        <w:spacing w:line="579"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各项结余资金可根据实际情况调剂使用。</w:t>
      </w:r>
    </w:p>
    <w:p>
      <w:pPr>
        <w:spacing w:line="579"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本办法由封丘县秸秆综合利用工作领导小组负责解释。</w:t>
      </w:r>
    </w:p>
    <w:p>
      <w:pPr>
        <w:spacing w:line="579" w:lineRule="exact"/>
        <w:jc w:val="both"/>
        <w:rPr>
          <w:rFonts w:ascii="仿宋_GB2312" w:hAnsi="仿宋" w:eastAsia="仿宋_GB2312"/>
          <w:sz w:val="32"/>
          <w:szCs w:val="32"/>
        </w:rPr>
      </w:pPr>
    </w:p>
    <w:p>
      <w:pPr>
        <w:spacing w:line="579"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秸秆收贮面积村级确认统计表</w:t>
      </w:r>
    </w:p>
    <w:tbl>
      <w:tblPr>
        <w:tblStyle w:val="14"/>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831"/>
        <w:gridCol w:w="716"/>
        <w:gridCol w:w="721"/>
        <w:gridCol w:w="718"/>
        <w:gridCol w:w="721"/>
        <w:gridCol w:w="718"/>
        <w:gridCol w:w="721"/>
        <w:gridCol w:w="1338"/>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56" w:type="dxa"/>
            <w:vMerge w:val="restart"/>
            <w:vAlign w:val="center"/>
          </w:tcPr>
          <w:p>
            <w:pPr>
              <w:spacing w:line="400" w:lineRule="exact"/>
              <w:jc w:val="both"/>
              <w:rPr>
                <w:rFonts w:ascii="仿宋_GB2312" w:hAnsi="仿宋" w:eastAsia="仿宋_GB2312"/>
              </w:rPr>
            </w:pPr>
            <w:r>
              <w:rPr>
                <w:rFonts w:hint="eastAsia" w:ascii="仿宋_GB2312" w:hAnsi="仿宋" w:eastAsia="仿宋_GB2312"/>
              </w:rPr>
              <w:t>乡镇村别</w:t>
            </w:r>
          </w:p>
        </w:tc>
        <w:tc>
          <w:tcPr>
            <w:tcW w:w="831" w:type="dxa"/>
            <w:vMerge w:val="restart"/>
            <w:vAlign w:val="center"/>
          </w:tcPr>
          <w:p>
            <w:pPr>
              <w:spacing w:line="400" w:lineRule="exact"/>
              <w:jc w:val="both"/>
              <w:rPr>
                <w:rFonts w:ascii="仿宋_GB2312" w:hAnsi="仿宋" w:eastAsia="仿宋_GB2312"/>
              </w:rPr>
            </w:pPr>
            <w:r>
              <w:rPr>
                <w:rFonts w:hint="eastAsia" w:ascii="仿宋_GB2312" w:hAnsi="仿宋" w:eastAsia="仿宋_GB2312"/>
              </w:rPr>
              <w:t>农户姓名</w:t>
            </w:r>
          </w:p>
        </w:tc>
        <w:tc>
          <w:tcPr>
            <w:tcW w:w="1437" w:type="dxa"/>
            <w:gridSpan w:val="2"/>
            <w:vAlign w:val="center"/>
          </w:tcPr>
          <w:p>
            <w:pPr>
              <w:spacing w:line="400" w:lineRule="exact"/>
              <w:jc w:val="both"/>
              <w:rPr>
                <w:rFonts w:ascii="仿宋_GB2312" w:hAnsi="仿宋" w:eastAsia="仿宋_GB2312"/>
              </w:rPr>
            </w:pPr>
            <w:r>
              <w:rPr>
                <w:rFonts w:hint="eastAsia" w:ascii="仿宋_GB2312" w:hAnsi="仿宋" w:eastAsia="仿宋_GB2312"/>
              </w:rPr>
              <w:t>作物种植</w:t>
            </w:r>
          </w:p>
          <w:p>
            <w:pPr>
              <w:spacing w:line="400" w:lineRule="exact"/>
              <w:jc w:val="both"/>
              <w:rPr>
                <w:rFonts w:ascii="仿宋_GB2312" w:hAnsi="仿宋" w:eastAsia="仿宋_GB2312"/>
              </w:rPr>
            </w:pPr>
            <w:r>
              <w:rPr>
                <w:rFonts w:hint="eastAsia" w:ascii="仿宋_GB2312" w:hAnsi="仿宋" w:eastAsia="仿宋_GB2312"/>
              </w:rPr>
              <w:t>面积（亩）</w:t>
            </w:r>
          </w:p>
        </w:tc>
        <w:tc>
          <w:tcPr>
            <w:tcW w:w="1439" w:type="dxa"/>
            <w:gridSpan w:val="2"/>
            <w:vAlign w:val="center"/>
          </w:tcPr>
          <w:p>
            <w:pPr>
              <w:spacing w:line="400" w:lineRule="exact"/>
              <w:jc w:val="both"/>
              <w:rPr>
                <w:rFonts w:ascii="仿宋_GB2312" w:hAnsi="仿宋" w:eastAsia="仿宋_GB2312"/>
              </w:rPr>
            </w:pPr>
            <w:r>
              <w:rPr>
                <w:rFonts w:hint="eastAsia" w:ascii="仿宋_GB2312" w:hAnsi="仿宋" w:eastAsia="仿宋_GB2312"/>
              </w:rPr>
              <w:t>秸秆收贮</w:t>
            </w:r>
          </w:p>
          <w:p>
            <w:pPr>
              <w:spacing w:line="400" w:lineRule="exact"/>
              <w:jc w:val="both"/>
              <w:rPr>
                <w:rFonts w:ascii="仿宋_GB2312" w:hAnsi="仿宋" w:eastAsia="仿宋_GB2312"/>
              </w:rPr>
            </w:pPr>
            <w:r>
              <w:rPr>
                <w:rFonts w:hint="eastAsia" w:ascii="仿宋_GB2312" w:hAnsi="仿宋" w:eastAsia="仿宋_GB2312"/>
              </w:rPr>
              <w:t>面积（亩）</w:t>
            </w:r>
          </w:p>
        </w:tc>
        <w:tc>
          <w:tcPr>
            <w:tcW w:w="1439" w:type="dxa"/>
            <w:gridSpan w:val="2"/>
            <w:vAlign w:val="center"/>
          </w:tcPr>
          <w:p>
            <w:pPr>
              <w:spacing w:line="400" w:lineRule="exact"/>
              <w:jc w:val="both"/>
              <w:rPr>
                <w:rFonts w:ascii="仿宋_GB2312" w:hAnsi="仿宋" w:eastAsia="仿宋_GB2312"/>
              </w:rPr>
            </w:pPr>
            <w:r>
              <w:rPr>
                <w:rFonts w:hint="eastAsia" w:ascii="仿宋_GB2312" w:hAnsi="仿宋" w:eastAsia="仿宋_GB2312"/>
              </w:rPr>
              <w:t>秸秆收贮</w:t>
            </w:r>
          </w:p>
          <w:p>
            <w:pPr>
              <w:spacing w:line="400" w:lineRule="exact"/>
              <w:jc w:val="both"/>
              <w:rPr>
                <w:rFonts w:ascii="仿宋_GB2312" w:hAnsi="仿宋" w:eastAsia="仿宋_GB2312"/>
              </w:rPr>
            </w:pPr>
            <w:r>
              <w:rPr>
                <w:rFonts w:hint="eastAsia" w:ascii="仿宋_GB2312" w:hAnsi="仿宋" w:eastAsia="仿宋_GB2312"/>
              </w:rPr>
              <w:t>量（吨）</w:t>
            </w:r>
          </w:p>
        </w:tc>
        <w:tc>
          <w:tcPr>
            <w:tcW w:w="1338" w:type="dxa"/>
            <w:vMerge w:val="restart"/>
            <w:vAlign w:val="center"/>
          </w:tcPr>
          <w:p>
            <w:pPr>
              <w:spacing w:line="400" w:lineRule="exact"/>
              <w:jc w:val="both"/>
              <w:rPr>
                <w:rFonts w:ascii="仿宋_GB2312" w:hAnsi="仿宋" w:eastAsia="仿宋_GB2312"/>
              </w:rPr>
            </w:pPr>
            <w:r>
              <w:rPr>
                <w:rFonts w:hint="eastAsia" w:ascii="仿宋_GB2312" w:hAnsi="仿宋" w:eastAsia="仿宋_GB2312"/>
              </w:rPr>
              <w:t>联系电话</w:t>
            </w:r>
          </w:p>
        </w:tc>
        <w:tc>
          <w:tcPr>
            <w:tcW w:w="1377" w:type="dxa"/>
            <w:vMerge w:val="restart"/>
            <w:vAlign w:val="center"/>
          </w:tcPr>
          <w:p>
            <w:pPr>
              <w:spacing w:line="400" w:lineRule="exact"/>
              <w:jc w:val="both"/>
              <w:rPr>
                <w:rFonts w:ascii="仿宋_GB2312" w:hAnsi="仿宋" w:eastAsia="仿宋_GB2312"/>
              </w:rPr>
            </w:pPr>
            <w:r>
              <w:rPr>
                <w:rFonts w:hint="eastAsia" w:ascii="仿宋_GB2312" w:hAnsi="仿宋" w:eastAsia="仿宋_GB2312"/>
              </w:rPr>
              <w:t>农户</w:t>
            </w:r>
          </w:p>
          <w:p>
            <w:pPr>
              <w:spacing w:line="400" w:lineRule="exact"/>
              <w:jc w:val="both"/>
              <w:rPr>
                <w:rFonts w:ascii="仿宋_GB2312" w:hAnsi="仿宋" w:eastAsia="仿宋_GB2312"/>
              </w:rPr>
            </w:pPr>
            <w:r>
              <w:rPr>
                <w:rFonts w:hint="eastAsia" w:ascii="仿宋_GB2312" w:hAnsi="仿宋" w:eastAsia="仿宋_GB2312"/>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6" w:type="dxa"/>
            <w:vMerge w:val="continue"/>
            <w:vAlign w:val="center"/>
          </w:tcPr>
          <w:p>
            <w:pPr>
              <w:spacing w:line="579" w:lineRule="exact"/>
              <w:ind w:firstLine="480" w:firstLineChars="200"/>
              <w:jc w:val="both"/>
              <w:rPr>
                <w:rFonts w:ascii="仿宋_GB2312" w:hAnsi="仿宋" w:eastAsia="仿宋_GB2312"/>
              </w:rPr>
            </w:pPr>
          </w:p>
        </w:tc>
        <w:tc>
          <w:tcPr>
            <w:tcW w:w="831" w:type="dxa"/>
            <w:vMerge w:val="continue"/>
            <w:vAlign w:val="center"/>
          </w:tcPr>
          <w:p>
            <w:pPr>
              <w:spacing w:line="579" w:lineRule="exact"/>
              <w:ind w:firstLine="480" w:firstLineChars="200"/>
              <w:jc w:val="both"/>
              <w:rPr>
                <w:rFonts w:ascii="仿宋_GB2312" w:hAnsi="仿宋" w:eastAsia="仿宋_GB2312"/>
              </w:rPr>
            </w:pPr>
          </w:p>
        </w:tc>
        <w:tc>
          <w:tcPr>
            <w:tcW w:w="716" w:type="dxa"/>
            <w:vAlign w:val="center"/>
          </w:tcPr>
          <w:p>
            <w:pPr>
              <w:spacing w:line="579" w:lineRule="exact"/>
              <w:jc w:val="both"/>
              <w:rPr>
                <w:rFonts w:ascii="仿宋_GB2312" w:hAnsi="仿宋" w:eastAsia="仿宋_GB2312"/>
              </w:rPr>
            </w:pPr>
            <w:r>
              <w:rPr>
                <w:rFonts w:hint="eastAsia" w:ascii="仿宋_GB2312" w:hAnsi="仿宋" w:eastAsia="仿宋_GB2312"/>
              </w:rPr>
              <w:t>小麦</w:t>
            </w:r>
          </w:p>
        </w:tc>
        <w:tc>
          <w:tcPr>
            <w:tcW w:w="721" w:type="dxa"/>
            <w:vAlign w:val="center"/>
          </w:tcPr>
          <w:p>
            <w:pPr>
              <w:spacing w:line="579" w:lineRule="exact"/>
              <w:jc w:val="both"/>
              <w:rPr>
                <w:rFonts w:ascii="仿宋_GB2312" w:hAnsi="仿宋" w:eastAsia="仿宋_GB2312"/>
              </w:rPr>
            </w:pPr>
            <w:r>
              <w:rPr>
                <w:rFonts w:hint="eastAsia" w:ascii="仿宋_GB2312" w:hAnsi="仿宋" w:eastAsia="仿宋_GB2312"/>
              </w:rPr>
              <w:t>玉米</w:t>
            </w:r>
          </w:p>
        </w:tc>
        <w:tc>
          <w:tcPr>
            <w:tcW w:w="718" w:type="dxa"/>
            <w:vAlign w:val="center"/>
          </w:tcPr>
          <w:p>
            <w:pPr>
              <w:spacing w:line="579" w:lineRule="exact"/>
              <w:jc w:val="both"/>
              <w:rPr>
                <w:rFonts w:ascii="仿宋_GB2312" w:hAnsi="仿宋" w:eastAsia="仿宋_GB2312"/>
              </w:rPr>
            </w:pPr>
            <w:r>
              <w:rPr>
                <w:rFonts w:hint="eastAsia" w:ascii="仿宋_GB2312" w:hAnsi="仿宋" w:eastAsia="仿宋_GB2312"/>
              </w:rPr>
              <w:t>小麦</w:t>
            </w:r>
          </w:p>
        </w:tc>
        <w:tc>
          <w:tcPr>
            <w:tcW w:w="721" w:type="dxa"/>
            <w:vAlign w:val="center"/>
          </w:tcPr>
          <w:p>
            <w:pPr>
              <w:spacing w:line="579" w:lineRule="exact"/>
              <w:jc w:val="both"/>
              <w:rPr>
                <w:rFonts w:ascii="仿宋_GB2312" w:hAnsi="仿宋" w:eastAsia="仿宋_GB2312"/>
              </w:rPr>
            </w:pPr>
            <w:r>
              <w:rPr>
                <w:rFonts w:hint="eastAsia" w:ascii="仿宋_GB2312" w:hAnsi="仿宋" w:eastAsia="仿宋_GB2312"/>
              </w:rPr>
              <w:t>玉米</w:t>
            </w:r>
          </w:p>
        </w:tc>
        <w:tc>
          <w:tcPr>
            <w:tcW w:w="718" w:type="dxa"/>
            <w:vAlign w:val="center"/>
          </w:tcPr>
          <w:p>
            <w:pPr>
              <w:spacing w:line="579" w:lineRule="exact"/>
              <w:jc w:val="both"/>
              <w:rPr>
                <w:rFonts w:ascii="仿宋_GB2312" w:hAnsi="仿宋" w:eastAsia="仿宋_GB2312"/>
              </w:rPr>
            </w:pPr>
            <w:r>
              <w:rPr>
                <w:rFonts w:hint="eastAsia" w:ascii="仿宋_GB2312" w:hAnsi="仿宋" w:eastAsia="仿宋_GB2312"/>
              </w:rPr>
              <w:t>小麦</w:t>
            </w:r>
          </w:p>
        </w:tc>
        <w:tc>
          <w:tcPr>
            <w:tcW w:w="721" w:type="dxa"/>
            <w:vAlign w:val="center"/>
          </w:tcPr>
          <w:p>
            <w:pPr>
              <w:spacing w:line="579" w:lineRule="exact"/>
              <w:jc w:val="both"/>
              <w:rPr>
                <w:rFonts w:ascii="仿宋_GB2312" w:hAnsi="仿宋" w:eastAsia="仿宋_GB2312"/>
              </w:rPr>
            </w:pPr>
            <w:r>
              <w:rPr>
                <w:rFonts w:hint="eastAsia" w:ascii="仿宋_GB2312" w:hAnsi="仿宋" w:eastAsia="仿宋_GB2312"/>
              </w:rPr>
              <w:t>玉米</w:t>
            </w:r>
          </w:p>
        </w:tc>
        <w:tc>
          <w:tcPr>
            <w:tcW w:w="1338" w:type="dxa"/>
            <w:vMerge w:val="continue"/>
            <w:vAlign w:val="center"/>
          </w:tcPr>
          <w:p>
            <w:pPr>
              <w:spacing w:line="579" w:lineRule="exact"/>
              <w:ind w:firstLine="480" w:firstLineChars="200"/>
              <w:jc w:val="both"/>
              <w:rPr>
                <w:rFonts w:ascii="仿宋_GB2312" w:hAnsi="仿宋" w:eastAsia="仿宋_GB2312"/>
              </w:rPr>
            </w:pPr>
          </w:p>
        </w:tc>
        <w:tc>
          <w:tcPr>
            <w:tcW w:w="1377" w:type="dxa"/>
            <w:vMerge w:val="continue"/>
            <w:vAlign w:val="center"/>
          </w:tcPr>
          <w:p>
            <w:pPr>
              <w:spacing w:line="579" w:lineRule="exact"/>
              <w:ind w:firstLine="480" w:firstLineChars="200"/>
              <w:jc w:val="both"/>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6" w:type="dxa"/>
            <w:vAlign w:val="center"/>
          </w:tcPr>
          <w:p>
            <w:pPr>
              <w:spacing w:line="579" w:lineRule="exact"/>
              <w:ind w:firstLine="480" w:firstLineChars="200"/>
              <w:jc w:val="both"/>
              <w:rPr>
                <w:rFonts w:ascii="仿宋_GB2312" w:hAnsi="仿宋" w:eastAsia="仿宋_GB2312"/>
              </w:rPr>
            </w:pPr>
          </w:p>
        </w:tc>
        <w:tc>
          <w:tcPr>
            <w:tcW w:w="831" w:type="dxa"/>
            <w:vAlign w:val="center"/>
          </w:tcPr>
          <w:p>
            <w:pPr>
              <w:spacing w:line="579" w:lineRule="exact"/>
              <w:ind w:firstLine="480" w:firstLineChars="200"/>
              <w:jc w:val="both"/>
              <w:rPr>
                <w:rFonts w:ascii="仿宋_GB2312" w:hAnsi="仿宋" w:eastAsia="仿宋_GB2312"/>
              </w:rPr>
            </w:pPr>
          </w:p>
        </w:tc>
        <w:tc>
          <w:tcPr>
            <w:tcW w:w="716" w:type="dxa"/>
            <w:vAlign w:val="center"/>
          </w:tcPr>
          <w:p>
            <w:pPr>
              <w:spacing w:line="579" w:lineRule="exact"/>
              <w:ind w:firstLine="480" w:firstLineChars="200"/>
              <w:jc w:val="both"/>
              <w:rPr>
                <w:rFonts w:ascii="仿宋_GB2312" w:hAnsi="仿宋" w:eastAsia="仿宋_GB2312"/>
              </w:rPr>
            </w:pPr>
          </w:p>
        </w:tc>
        <w:tc>
          <w:tcPr>
            <w:tcW w:w="721" w:type="dxa"/>
            <w:vAlign w:val="center"/>
          </w:tcPr>
          <w:p>
            <w:pPr>
              <w:spacing w:line="579" w:lineRule="exact"/>
              <w:ind w:firstLine="480" w:firstLineChars="200"/>
              <w:jc w:val="both"/>
              <w:rPr>
                <w:rFonts w:ascii="仿宋_GB2312" w:hAnsi="仿宋" w:eastAsia="仿宋_GB2312"/>
              </w:rPr>
            </w:pPr>
          </w:p>
        </w:tc>
        <w:tc>
          <w:tcPr>
            <w:tcW w:w="718" w:type="dxa"/>
            <w:vAlign w:val="center"/>
          </w:tcPr>
          <w:p>
            <w:pPr>
              <w:spacing w:line="579" w:lineRule="exact"/>
              <w:ind w:firstLine="480" w:firstLineChars="200"/>
              <w:jc w:val="both"/>
              <w:rPr>
                <w:rFonts w:ascii="仿宋_GB2312" w:hAnsi="仿宋" w:eastAsia="仿宋_GB2312"/>
              </w:rPr>
            </w:pPr>
          </w:p>
        </w:tc>
        <w:tc>
          <w:tcPr>
            <w:tcW w:w="721" w:type="dxa"/>
            <w:vAlign w:val="center"/>
          </w:tcPr>
          <w:p>
            <w:pPr>
              <w:spacing w:line="579" w:lineRule="exact"/>
              <w:ind w:firstLine="480" w:firstLineChars="200"/>
              <w:jc w:val="both"/>
              <w:rPr>
                <w:rFonts w:ascii="仿宋_GB2312" w:hAnsi="仿宋" w:eastAsia="仿宋_GB2312"/>
              </w:rPr>
            </w:pPr>
          </w:p>
        </w:tc>
        <w:tc>
          <w:tcPr>
            <w:tcW w:w="718" w:type="dxa"/>
            <w:vAlign w:val="center"/>
          </w:tcPr>
          <w:p>
            <w:pPr>
              <w:spacing w:line="579" w:lineRule="exact"/>
              <w:ind w:firstLine="480" w:firstLineChars="200"/>
              <w:jc w:val="both"/>
              <w:rPr>
                <w:rFonts w:ascii="仿宋_GB2312" w:hAnsi="仿宋" w:eastAsia="仿宋_GB2312"/>
              </w:rPr>
            </w:pPr>
          </w:p>
        </w:tc>
        <w:tc>
          <w:tcPr>
            <w:tcW w:w="721" w:type="dxa"/>
            <w:vAlign w:val="center"/>
          </w:tcPr>
          <w:p>
            <w:pPr>
              <w:spacing w:line="579" w:lineRule="exact"/>
              <w:ind w:firstLine="480" w:firstLineChars="200"/>
              <w:jc w:val="both"/>
              <w:rPr>
                <w:rFonts w:ascii="仿宋_GB2312" w:hAnsi="仿宋" w:eastAsia="仿宋_GB2312"/>
              </w:rPr>
            </w:pPr>
          </w:p>
        </w:tc>
        <w:tc>
          <w:tcPr>
            <w:tcW w:w="1338" w:type="dxa"/>
            <w:vAlign w:val="center"/>
          </w:tcPr>
          <w:p>
            <w:pPr>
              <w:spacing w:line="579" w:lineRule="exact"/>
              <w:ind w:firstLine="480" w:firstLineChars="200"/>
              <w:jc w:val="both"/>
              <w:rPr>
                <w:rFonts w:ascii="仿宋_GB2312" w:hAnsi="仿宋" w:eastAsia="仿宋_GB2312"/>
              </w:rPr>
            </w:pPr>
          </w:p>
        </w:tc>
        <w:tc>
          <w:tcPr>
            <w:tcW w:w="1377" w:type="dxa"/>
            <w:vAlign w:val="center"/>
          </w:tcPr>
          <w:p>
            <w:pPr>
              <w:spacing w:line="579" w:lineRule="exact"/>
              <w:ind w:firstLine="480" w:firstLineChars="200"/>
              <w:jc w:val="both"/>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6" w:type="dxa"/>
            <w:vAlign w:val="center"/>
          </w:tcPr>
          <w:p>
            <w:pPr>
              <w:spacing w:line="579" w:lineRule="exact"/>
              <w:ind w:firstLine="640" w:firstLineChars="200"/>
              <w:jc w:val="both"/>
              <w:rPr>
                <w:rFonts w:ascii="仿宋_GB2312" w:hAnsi="仿宋" w:eastAsia="仿宋_GB2312"/>
                <w:sz w:val="32"/>
                <w:szCs w:val="32"/>
              </w:rPr>
            </w:pPr>
          </w:p>
        </w:tc>
        <w:tc>
          <w:tcPr>
            <w:tcW w:w="831" w:type="dxa"/>
            <w:vAlign w:val="center"/>
          </w:tcPr>
          <w:p>
            <w:pPr>
              <w:spacing w:line="579" w:lineRule="exact"/>
              <w:ind w:firstLine="640" w:firstLineChars="200"/>
              <w:jc w:val="both"/>
              <w:rPr>
                <w:rFonts w:ascii="仿宋_GB2312" w:hAnsi="仿宋" w:eastAsia="仿宋_GB2312"/>
                <w:sz w:val="32"/>
                <w:szCs w:val="32"/>
              </w:rPr>
            </w:pPr>
          </w:p>
        </w:tc>
        <w:tc>
          <w:tcPr>
            <w:tcW w:w="716"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718"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718"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1338" w:type="dxa"/>
            <w:vAlign w:val="center"/>
          </w:tcPr>
          <w:p>
            <w:pPr>
              <w:spacing w:line="579" w:lineRule="exact"/>
              <w:ind w:firstLine="640" w:firstLineChars="200"/>
              <w:jc w:val="both"/>
              <w:rPr>
                <w:rFonts w:ascii="仿宋_GB2312" w:hAnsi="仿宋" w:eastAsia="仿宋_GB2312"/>
                <w:sz w:val="32"/>
                <w:szCs w:val="32"/>
              </w:rPr>
            </w:pPr>
          </w:p>
        </w:tc>
        <w:tc>
          <w:tcPr>
            <w:tcW w:w="1377" w:type="dxa"/>
            <w:vAlign w:val="center"/>
          </w:tcPr>
          <w:p>
            <w:pPr>
              <w:spacing w:line="579" w:lineRule="exact"/>
              <w:ind w:firstLine="640" w:firstLineChars="200"/>
              <w:jc w:val="both"/>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56" w:type="dxa"/>
            <w:vAlign w:val="center"/>
          </w:tcPr>
          <w:p>
            <w:pPr>
              <w:spacing w:line="579" w:lineRule="exact"/>
              <w:ind w:firstLine="640" w:firstLineChars="200"/>
              <w:jc w:val="both"/>
              <w:rPr>
                <w:rFonts w:ascii="仿宋_GB2312" w:hAnsi="仿宋" w:eastAsia="仿宋_GB2312"/>
                <w:sz w:val="32"/>
                <w:szCs w:val="32"/>
              </w:rPr>
            </w:pPr>
          </w:p>
        </w:tc>
        <w:tc>
          <w:tcPr>
            <w:tcW w:w="831" w:type="dxa"/>
            <w:vAlign w:val="center"/>
          </w:tcPr>
          <w:p>
            <w:pPr>
              <w:spacing w:line="579" w:lineRule="exact"/>
              <w:ind w:firstLine="640" w:firstLineChars="200"/>
              <w:jc w:val="both"/>
              <w:rPr>
                <w:rFonts w:ascii="仿宋_GB2312" w:hAnsi="仿宋" w:eastAsia="仿宋_GB2312"/>
                <w:sz w:val="32"/>
                <w:szCs w:val="32"/>
              </w:rPr>
            </w:pPr>
          </w:p>
        </w:tc>
        <w:tc>
          <w:tcPr>
            <w:tcW w:w="716"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718"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718"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1338" w:type="dxa"/>
            <w:vAlign w:val="center"/>
          </w:tcPr>
          <w:p>
            <w:pPr>
              <w:spacing w:line="579" w:lineRule="exact"/>
              <w:ind w:firstLine="640" w:firstLineChars="200"/>
              <w:jc w:val="both"/>
              <w:rPr>
                <w:rFonts w:ascii="仿宋_GB2312" w:hAnsi="仿宋" w:eastAsia="仿宋_GB2312"/>
                <w:sz w:val="32"/>
                <w:szCs w:val="32"/>
              </w:rPr>
            </w:pPr>
          </w:p>
        </w:tc>
        <w:tc>
          <w:tcPr>
            <w:tcW w:w="1377" w:type="dxa"/>
            <w:vAlign w:val="center"/>
          </w:tcPr>
          <w:p>
            <w:pPr>
              <w:spacing w:line="579" w:lineRule="exact"/>
              <w:ind w:firstLine="640" w:firstLineChars="200"/>
              <w:jc w:val="both"/>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56" w:type="dxa"/>
            <w:vAlign w:val="center"/>
          </w:tcPr>
          <w:p>
            <w:pPr>
              <w:spacing w:line="579" w:lineRule="exact"/>
              <w:ind w:firstLine="640" w:firstLineChars="200"/>
              <w:jc w:val="both"/>
              <w:rPr>
                <w:rFonts w:ascii="仿宋_GB2312" w:hAnsi="仿宋" w:eastAsia="仿宋_GB2312"/>
                <w:sz w:val="32"/>
                <w:szCs w:val="32"/>
              </w:rPr>
            </w:pPr>
          </w:p>
        </w:tc>
        <w:tc>
          <w:tcPr>
            <w:tcW w:w="831" w:type="dxa"/>
            <w:vAlign w:val="center"/>
          </w:tcPr>
          <w:p>
            <w:pPr>
              <w:spacing w:line="579" w:lineRule="exact"/>
              <w:ind w:firstLine="640" w:firstLineChars="200"/>
              <w:jc w:val="both"/>
              <w:rPr>
                <w:rFonts w:ascii="仿宋_GB2312" w:hAnsi="仿宋" w:eastAsia="仿宋_GB2312"/>
                <w:sz w:val="32"/>
                <w:szCs w:val="32"/>
              </w:rPr>
            </w:pPr>
          </w:p>
        </w:tc>
        <w:tc>
          <w:tcPr>
            <w:tcW w:w="716"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718"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718"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1338" w:type="dxa"/>
            <w:vAlign w:val="center"/>
          </w:tcPr>
          <w:p>
            <w:pPr>
              <w:spacing w:line="579" w:lineRule="exact"/>
              <w:ind w:firstLine="640" w:firstLineChars="200"/>
              <w:jc w:val="both"/>
              <w:rPr>
                <w:rFonts w:ascii="仿宋_GB2312" w:hAnsi="仿宋" w:eastAsia="仿宋_GB2312"/>
                <w:sz w:val="32"/>
                <w:szCs w:val="32"/>
              </w:rPr>
            </w:pPr>
          </w:p>
        </w:tc>
        <w:tc>
          <w:tcPr>
            <w:tcW w:w="1377" w:type="dxa"/>
            <w:vAlign w:val="center"/>
          </w:tcPr>
          <w:p>
            <w:pPr>
              <w:spacing w:line="579" w:lineRule="exact"/>
              <w:ind w:firstLine="640" w:firstLineChars="200"/>
              <w:jc w:val="both"/>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56" w:type="dxa"/>
            <w:vAlign w:val="center"/>
          </w:tcPr>
          <w:p>
            <w:pPr>
              <w:spacing w:line="579" w:lineRule="exact"/>
              <w:ind w:firstLine="640" w:firstLineChars="200"/>
              <w:jc w:val="both"/>
              <w:rPr>
                <w:rFonts w:ascii="仿宋_GB2312" w:hAnsi="仿宋" w:eastAsia="仿宋_GB2312"/>
                <w:sz w:val="32"/>
                <w:szCs w:val="32"/>
              </w:rPr>
            </w:pPr>
          </w:p>
        </w:tc>
        <w:tc>
          <w:tcPr>
            <w:tcW w:w="831" w:type="dxa"/>
            <w:vAlign w:val="center"/>
          </w:tcPr>
          <w:p>
            <w:pPr>
              <w:spacing w:line="579" w:lineRule="exact"/>
              <w:ind w:firstLine="640" w:firstLineChars="200"/>
              <w:jc w:val="both"/>
              <w:rPr>
                <w:rFonts w:ascii="仿宋_GB2312" w:hAnsi="仿宋" w:eastAsia="仿宋_GB2312"/>
                <w:sz w:val="32"/>
                <w:szCs w:val="32"/>
              </w:rPr>
            </w:pPr>
          </w:p>
        </w:tc>
        <w:tc>
          <w:tcPr>
            <w:tcW w:w="716"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718"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718"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1338" w:type="dxa"/>
            <w:vAlign w:val="center"/>
          </w:tcPr>
          <w:p>
            <w:pPr>
              <w:spacing w:line="579" w:lineRule="exact"/>
              <w:ind w:firstLine="640" w:firstLineChars="200"/>
              <w:jc w:val="both"/>
              <w:rPr>
                <w:rFonts w:ascii="仿宋_GB2312" w:hAnsi="仿宋" w:eastAsia="仿宋_GB2312"/>
                <w:sz w:val="32"/>
                <w:szCs w:val="32"/>
              </w:rPr>
            </w:pPr>
          </w:p>
        </w:tc>
        <w:tc>
          <w:tcPr>
            <w:tcW w:w="1377" w:type="dxa"/>
            <w:vAlign w:val="center"/>
          </w:tcPr>
          <w:p>
            <w:pPr>
              <w:spacing w:line="579" w:lineRule="exact"/>
              <w:ind w:firstLine="640" w:firstLineChars="200"/>
              <w:jc w:val="both"/>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6" w:type="dxa"/>
            <w:vAlign w:val="center"/>
          </w:tcPr>
          <w:p>
            <w:pPr>
              <w:spacing w:line="579" w:lineRule="exact"/>
              <w:jc w:val="both"/>
              <w:rPr>
                <w:rFonts w:ascii="仿宋_GB2312" w:hAnsi="仿宋" w:eastAsia="仿宋_GB2312"/>
                <w:sz w:val="32"/>
                <w:szCs w:val="32"/>
              </w:rPr>
            </w:pPr>
            <w:r>
              <w:rPr>
                <w:rFonts w:hint="eastAsia" w:ascii="仿宋_GB2312" w:hAnsi="仿宋" w:eastAsia="仿宋_GB2312"/>
                <w:sz w:val="32"/>
                <w:szCs w:val="32"/>
              </w:rPr>
              <w:t>……</w:t>
            </w:r>
          </w:p>
        </w:tc>
        <w:tc>
          <w:tcPr>
            <w:tcW w:w="831" w:type="dxa"/>
            <w:vAlign w:val="center"/>
          </w:tcPr>
          <w:p>
            <w:pPr>
              <w:spacing w:line="579" w:lineRule="exact"/>
              <w:ind w:firstLine="640" w:firstLineChars="200"/>
              <w:jc w:val="both"/>
              <w:rPr>
                <w:rFonts w:ascii="仿宋_GB2312" w:hAnsi="仿宋" w:eastAsia="仿宋_GB2312"/>
                <w:sz w:val="32"/>
                <w:szCs w:val="32"/>
              </w:rPr>
            </w:pPr>
          </w:p>
        </w:tc>
        <w:tc>
          <w:tcPr>
            <w:tcW w:w="716"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718"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718" w:type="dxa"/>
            <w:vAlign w:val="center"/>
          </w:tcPr>
          <w:p>
            <w:pPr>
              <w:spacing w:line="579" w:lineRule="exact"/>
              <w:ind w:firstLine="640" w:firstLineChars="200"/>
              <w:jc w:val="both"/>
              <w:rPr>
                <w:rFonts w:ascii="仿宋_GB2312" w:hAnsi="仿宋" w:eastAsia="仿宋_GB2312"/>
                <w:sz w:val="32"/>
                <w:szCs w:val="32"/>
              </w:rPr>
            </w:pPr>
          </w:p>
        </w:tc>
        <w:tc>
          <w:tcPr>
            <w:tcW w:w="721" w:type="dxa"/>
            <w:vAlign w:val="center"/>
          </w:tcPr>
          <w:p>
            <w:pPr>
              <w:spacing w:line="579" w:lineRule="exact"/>
              <w:ind w:firstLine="640" w:firstLineChars="200"/>
              <w:jc w:val="both"/>
              <w:rPr>
                <w:rFonts w:ascii="仿宋_GB2312" w:hAnsi="仿宋" w:eastAsia="仿宋_GB2312"/>
                <w:sz w:val="32"/>
                <w:szCs w:val="32"/>
              </w:rPr>
            </w:pPr>
          </w:p>
        </w:tc>
        <w:tc>
          <w:tcPr>
            <w:tcW w:w="1338" w:type="dxa"/>
            <w:vAlign w:val="center"/>
          </w:tcPr>
          <w:p>
            <w:pPr>
              <w:spacing w:line="579" w:lineRule="exact"/>
              <w:ind w:firstLine="640" w:firstLineChars="200"/>
              <w:jc w:val="both"/>
              <w:rPr>
                <w:rFonts w:ascii="仿宋_GB2312" w:hAnsi="仿宋" w:eastAsia="仿宋_GB2312"/>
                <w:sz w:val="32"/>
                <w:szCs w:val="32"/>
              </w:rPr>
            </w:pPr>
          </w:p>
        </w:tc>
        <w:tc>
          <w:tcPr>
            <w:tcW w:w="1377" w:type="dxa"/>
            <w:vAlign w:val="center"/>
          </w:tcPr>
          <w:p>
            <w:pPr>
              <w:spacing w:line="579" w:lineRule="exact"/>
              <w:ind w:firstLine="640" w:firstLineChars="200"/>
              <w:jc w:val="both"/>
              <w:rPr>
                <w:rFonts w:ascii="仿宋_GB2312" w:hAnsi="仿宋" w:eastAsia="仿宋_GB2312"/>
                <w:sz w:val="32"/>
                <w:szCs w:val="32"/>
              </w:rPr>
            </w:pPr>
          </w:p>
        </w:tc>
      </w:tr>
    </w:tbl>
    <w:p>
      <w:pPr>
        <w:spacing w:line="579" w:lineRule="exact"/>
        <w:ind w:firstLine="600" w:firstLineChars="200"/>
        <w:jc w:val="both"/>
        <w:rPr>
          <w:rFonts w:ascii="仿宋_GB2312" w:hAnsi="仿宋" w:eastAsia="仿宋_GB2312"/>
          <w:sz w:val="30"/>
          <w:szCs w:val="30"/>
        </w:rPr>
      </w:pPr>
      <w:r>
        <w:rPr>
          <w:rFonts w:hint="eastAsia" w:ascii="仿宋_GB2312" w:eastAsia="仿宋_GB2312"/>
          <w:color w:val="333333"/>
          <w:sz w:val="30"/>
          <w:szCs w:val="30"/>
        </w:rPr>
        <w:t>村委会（盖章）：     村级负责人（签字、联系电话）</w:t>
      </w: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3073" o:spid="_x0000_s3073" o:spt="202" type="#_x0000_t202" style="position:absolute;left:0pt;margin-top:-12pt;height:22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w:txbxContent>
              <w:sdt>
                <w:sdtPr>
                  <w:id w:val="10283157"/>
                </w:sdtPr>
                <w:sdtContent>
                  <w:p>
                    <w:pPr>
                      <w:pStyle w:val="9"/>
                      <w:jc w:val="cente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34</w:t>
                    </w:r>
                    <w:r>
                      <w:rPr>
                        <w:rFonts w:hint="eastAsia" w:asciiTheme="minorEastAsia" w:hAnsiTheme="minorEastAsia" w:eastAsiaTheme="minorEastAsia" w:cstheme="minorEastAsia"/>
                        <w:sz w:val="28"/>
                        <w:szCs w:val="28"/>
                        <w:lang w:val="zh-CN"/>
                      </w:rPr>
                      <w:fldChar w:fldCharType="end"/>
                    </w:r>
                    <w:r>
                      <w:rPr>
                        <w:rFonts w:hint="eastAsia" w:asciiTheme="minorEastAsia" w:hAnsiTheme="minorEastAsia" w:eastAsiaTheme="minorEastAsia" w:cstheme="minorEastAsia"/>
                        <w:sz w:val="28"/>
                        <w:szCs w:val="28"/>
                        <w:lang w:val="zh-CN"/>
                      </w:rPr>
                      <w:t>—</w:t>
                    </w:r>
                  </w:p>
                </w:sdtContent>
              </w:sdt>
              <w:p/>
            </w:txbxContent>
          </v:textbox>
        </v:shape>
      </w:pic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E4BBA"/>
    <w:rsid w:val="00014D9F"/>
    <w:rsid w:val="00020227"/>
    <w:rsid w:val="000216B3"/>
    <w:rsid w:val="000B6FCC"/>
    <w:rsid w:val="0015320F"/>
    <w:rsid w:val="00184E7B"/>
    <w:rsid w:val="001859F3"/>
    <w:rsid w:val="001E4BBA"/>
    <w:rsid w:val="001E6C12"/>
    <w:rsid w:val="00201D47"/>
    <w:rsid w:val="00212691"/>
    <w:rsid w:val="0021454A"/>
    <w:rsid w:val="002275E7"/>
    <w:rsid w:val="00230054"/>
    <w:rsid w:val="002554C7"/>
    <w:rsid w:val="0027750F"/>
    <w:rsid w:val="00284DB3"/>
    <w:rsid w:val="0029048D"/>
    <w:rsid w:val="00387706"/>
    <w:rsid w:val="00391D7E"/>
    <w:rsid w:val="003B0657"/>
    <w:rsid w:val="003C3BB7"/>
    <w:rsid w:val="003F1511"/>
    <w:rsid w:val="00416E40"/>
    <w:rsid w:val="0042483E"/>
    <w:rsid w:val="004548C9"/>
    <w:rsid w:val="00461D83"/>
    <w:rsid w:val="004B1A7F"/>
    <w:rsid w:val="004B7B50"/>
    <w:rsid w:val="004C0A51"/>
    <w:rsid w:val="004D7232"/>
    <w:rsid w:val="004E7D63"/>
    <w:rsid w:val="00500EF8"/>
    <w:rsid w:val="0050556B"/>
    <w:rsid w:val="00514941"/>
    <w:rsid w:val="0057229D"/>
    <w:rsid w:val="005876A7"/>
    <w:rsid w:val="005C5393"/>
    <w:rsid w:val="005F6CF8"/>
    <w:rsid w:val="00616CE0"/>
    <w:rsid w:val="006A3ED3"/>
    <w:rsid w:val="00753517"/>
    <w:rsid w:val="007654F7"/>
    <w:rsid w:val="0078214C"/>
    <w:rsid w:val="007F4AF3"/>
    <w:rsid w:val="008040D1"/>
    <w:rsid w:val="00844E6C"/>
    <w:rsid w:val="0085071C"/>
    <w:rsid w:val="00865EA8"/>
    <w:rsid w:val="008A71CE"/>
    <w:rsid w:val="008C0D91"/>
    <w:rsid w:val="008D353A"/>
    <w:rsid w:val="00925774"/>
    <w:rsid w:val="009343D9"/>
    <w:rsid w:val="00950FD9"/>
    <w:rsid w:val="00972771"/>
    <w:rsid w:val="009840C5"/>
    <w:rsid w:val="009C3E23"/>
    <w:rsid w:val="009E02F8"/>
    <w:rsid w:val="009E211B"/>
    <w:rsid w:val="00A015FD"/>
    <w:rsid w:val="00A33E27"/>
    <w:rsid w:val="00A3594F"/>
    <w:rsid w:val="00A60797"/>
    <w:rsid w:val="00A93D2B"/>
    <w:rsid w:val="00B24B52"/>
    <w:rsid w:val="00B4324A"/>
    <w:rsid w:val="00B47BBD"/>
    <w:rsid w:val="00B562D3"/>
    <w:rsid w:val="00B723A4"/>
    <w:rsid w:val="00B9645E"/>
    <w:rsid w:val="00BA0484"/>
    <w:rsid w:val="00BC72C5"/>
    <w:rsid w:val="00C011BE"/>
    <w:rsid w:val="00C04300"/>
    <w:rsid w:val="00C54CCF"/>
    <w:rsid w:val="00C55BF3"/>
    <w:rsid w:val="00C67869"/>
    <w:rsid w:val="00C91D49"/>
    <w:rsid w:val="00D01B1C"/>
    <w:rsid w:val="00D416B1"/>
    <w:rsid w:val="00D65A31"/>
    <w:rsid w:val="00D833E3"/>
    <w:rsid w:val="00DC1921"/>
    <w:rsid w:val="00E034AB"/>
    <w:rsid w:val="00E30F9E"/>
    <w:rsid w:val="00E6250E"/>
    <w:rsid w:val="00E62FD3"/>
    <w:rsid w:val="00E8570D"/>
    <w:rsid w:val="00EB11E9"/>
    <w:rsid w:val="00EC464D"/>
    <w:rsid w:val="00EE7633"/>
    <w:rsid w:val="00F4014D"/>
    <w:rsid w:val="00F44BFD"/>
    <w:rsid w:val="00F52744"/>
    <w:rsid w:val="00F571C7"/>
    <w:rsid w:val="00FA2D14"/>
    <w:rsid w:val="00FA6C45"/>
    <w:rsid w:val="00FE4B51"/>
    <w:rsid w:val="11F58636"/>
    <w:rsid w:val="35115BA1"/>
    <w:rsid w:val="397D44D4"/>
    <w:rsid w:val="3FAD29F6"/>
    <w:rsid w:val="431C5837"/>
    <w:rsid w:val="442A3A79"/>
    <w:rsid w:val="4BB27B72"/>
    <w:rsid w:val="4D9A4170"/>
    <w:rsid w:val="57FDD419"/>
    <w:rsid w:val="620155B8"/>
    <w:rsid w:val="70EA4349"/>
    <w:rsid w:val="77E849F9"/>
    <w:rsid w:val="7CFE4993"/>
    <w:rsid w:val="7DC369D5"/>
    <w:rsid w:val="FBF3FDA0"/>
    <w:rsid w:val="FDC1A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4">
    <w:name w:val="heading 1"/>
    <w:basedOn w:val="1"/>
    <w:next w:val="1"/>
    <w:link w:val="17"/>
    <w:qFormat/>
    <w:uiPriority w:val="9"/>
    <w:pPr>
      <w:keepNext/>
      <w:keepLines/>
      <w:spacing w:line="576" w:lineRule="auto"/>
      <w:outlineLvl w:val="0"/>
    </w:pPr>
    <w:rPr>
      <w:b/>
      <w:kern w:val="44"/>
      <w:sz w:val="36"/>
    </w:rPr>
  </w:style>
  <w:style w:type="paragraph" w:styleId="5">
    <w:name w:val="heading 2"/>
    <w:basedOn w:val="1"/>
    <w:next w:val="1"/>
    <w:link w:val="18"/>
    <w:qFormat/>
    <w:uiPriority w:val="0"/>
    <w:pPr>
      <w:keepNext/>
      <w:keepLines/>
      <w:snapToGrid w:val="0"/>
      <w:spacing w:beforeLines="100" w:afterLines="50"/>
      <w:outlineLvl w:val="1"/>
    </w:pPr>
    <w:rPr>
      <w:rFonts w:eastAsia="黑体"/>
      <w:bCs/>
      <w:sz w:val="32"/>
      <w:szCs w:val="32"/>
    </w:rPr>
  </w:style>
  <w:style w:type="paragraph" w:styleId="6">
    <w:name w:val="heading 3"/>
    <w:basedOn w:val="1"/>
    <w:next w:val="1"/>
    <w:link w:val="19"/>
    <w:unhideWhenUsed/>
    <w:qFormat/>
    <w:uiPriority w:val="9"/>
    <w:pPr>
      <w:keepNext/>
      <w:keepLines/>
      <w:spacing w:line="413" w:lineRule="auto"/>
      <w:outlineLvl w:val="2"/>
    </w:pPr>
    <w:rPr>
      <w:b/>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firstLine="420" w:firstLineChars="200"/>
    </w:pPr>
  </w:style>
  <w:style w:type="paragraph" w:styleId="3">
    <w:name w:val="Body Text Indent"/>
    <w:basedOn w:val="1"/>
    <w:qFormat/>
    <w:uiPriority w:val="0"/>
    <w:pPr>
      <w:ind w:left="420" w:leftChars="200"/>
    </w:pPr>
    <w:rPr>
      <w:kern w:val="2"/>
      <w:sz w:val="21"/>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autoSpaceDE/>
      <w:autoSpaceDN/>
      <w:adjustRightInd/>
      <w:snapToGrid w:val="0"/>
    </w:pPr>
    <w:rPr>
      <w:rFonts w:ascii="Times New Roman" w:hAnsi="Times New Roman" w:cs="Times New Roman"/>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autoSpaceDE/>
      <w:autoSpaceDN/>
      <w:adjustRightInd/>
      <w:snapToGrid w:val="0"/>
      <w:jc w:val="center"/>
    </w:pPr>
    <w:rPr>
      <w:rFonts w:ascii="Times New Roman" w:hAnsi="Times New Roman" w:cs="Times New Roman"/>
      <w:sz w:val="18"/>
      <w:szCs w:val="18"/>
    </w:rPr>
  </w:style>
  <w:style w:type="paragraph" w:styleId="11">
    <w:name w:val="toc 1"/>
    <w:basedOn w:val="1"/>
    <w:next w:val="1"/>
    <w:qFormat/>
    <w:uiPriority w:val="39"/>
    <w:pPr>
      <w:autoSpaceDE/>
      <w:autoSpaceDN/>
      <w:adjustRightInd/>
      <w:ind w:firstLine="420" w:firstLineChars="200"/>
      <w:jc w:val="both"/>
    </w:pPr>
    <w:rPr>
      <w:rFonts w:ascii="Times New Roman" w:hAnsi="Times New Roman" w:cs="Times New Roman"/>
      <w:kern w:val="2"/>
      <w:sz w:val="21"/>
      <w:szCs w:val="22"/>
    </w:rPr>
  </w:style>
  <w:style w:type="paragraph" w:styleId="12">
    <w:name w:val="toc 2"/>
    <w:basedOn w:val="1"/>
    <w:next w:val="1"/>
    <w:qFormat/>
    <w:uiPriority w:val="39"/>
    <w:pPr>
      <w:autoSpaceDE/>
      <w:autoSpaceDN/>
      <w:adjustRightInd/>
      <w:ind w:left="420" w:leftChars="200" w:firstLine="420" w:firstLineChars="200"/>
      <w:jc w:val="both"/>
    </w:pPr>
    <w:rPr>
      <w:rFonts w:ascii="Times New Roman" w:hAnsi="Times New Roman" w:cs="Times New Roman"/>
      <w:kern w:val="2"/>
      <w:sz w:val="21"/>
      <w:szCs w:val="2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标题 1 Char"/>
    <w:basedOn w:val="15"/>
    <w:link w:val="4"/>
    <w:qFormat/>
    <w:uiPriority w:val="9"/>
    <w:rPr>
      <w:rFonts w:ascii="宋体" w:hAnsi="宋体" w:cs="宋体"/>
      <w:b/>
      <w:kern w:val="44"/>
      <w:sz w:val="36"/>
      <w:szCs w:val="24"/>
    </w:rPr>
  </w:style>
  <w:style w:type="character" w:customStyle="1" w:styleId="18">
    <w:name w:val="标题 2 Char"/>
    <w:basedOn w:val="15"/>
    <w:link w:val="5"/>
    <w:qFormat/>
    <w:uiPriority w:val="0"/>
    <w:rPr>
      <w:rFonts w:ascii="宋体" w:hAnsi="宋体" w:eastAsia="黑体" w:cs="宋体"/>
      <w:bCs/>
      <w:sz w:val="32"/>
      <w:szCs w:val="32"/>
    </w:rPr>
  </w:style>
  <w:style w:type="character" w:customStyle="1" w:styleId="19">
    <w:name w:val="标题 3 Char"/>
    <w:basedOn w:val="15"/>
    <w:link w:val="6"/>
    <w:qFormat/>
    <w:uiPriority w:val="9"/>
    <w:rPr>
      <w:rFonts w:ascii="宋体" w:hAnsi="宋体" w:cs="宋体"/>
      <w:b/>
      <w:sz w:val="30"/>
      <w:szCs w:val="24"/>
    </w:rPr>
  </w:style>
  <w:style w:type="character" w:customStyle="1" w:styleId="20">
    <w:name w:val="页眉 Char"/>
    <w:basedOn w:val="15"/>
    <w:link w:val="10"/>
    <w:qFormat/>
    <w:uiPriority w:val="0"/>
    <w:rPr>
      <w:sz w:val="18"/>
      <w:szCs w:val="18"/>
    </w:rPr>
  </w:style>
  <w:style w:type="character" w:customStyle="1" w:styleId="21">
    <w:name w:val="页脚 Char"/>
    <w:basedOn w:val="15"/>
    <w:link w:val="9"/>
    <w:qFormat/>
    <w:uiPriority w:val="0"/>
    <w:rPr>
      <w:sz w:val="18"/>
      <w:szCs w:val="18"/>
    </w:rPr>
  </w:style>
  <w:style w:type="character" w:customStyle="1" w:styleId="22">
    <w:name w:val="font11"/>
    <w:basedOn w:val="15"/>
    <w:qFormat/>
    <w:uiPriority w:val="0"/>
    <w:rPr>
      <w:rFonts w:hint="eastAsia" w:ascii="仿宋" w:hAnsi="仿宋" w:eastAsia="仿宋" w:cs="仿宋"/>
      <w:color w:val="FF0000"/>
      <w:sz w:val="32"/>
      <w:szCs w:val="32"/>
      <w:u w:val="none"/>
    </w:rPr>
  </w:style>
  <w:style w:type="character" w:customStyle="1" w:styleId="23">
    <w:name w:val="font31"/>
    <w:basedOn w:val="15"/>
    <w:qFormat/>
    <w:uiPriority w:val="0"/>
    <w:rPr>
      <w:rFonts w:hint="eastAsia" w:ascii="仿宋" w:hAnsi="仿宋" w:eastAsia="仿宋" w:cs="仿宋"/>
      <w:color w:val="000000"/>
      <w:sz w:val="36"/>
      <w:szCs w:val="36"/>
      <w:u w:val="none"/>
    </w:rPr>
  </w:style>
  <w:style w:type="character" w:customStyle="1" w:styleId="24">
    <w:name w:val="font01"/>
    <w:basedOn w:val="15"/>
    <w:qFormat/>
    <w:uiPriority w:val="0"/>
    <w:rPr>
      <w:rFonts w:hint="eastAsia" w:ascii="仿宋" w:hAnsi="仿宋" w:eastAsia="仿宋" w:cs="仿宋"/>
      <w:color w:val="000000"/>
      <w:sz w:val="36"/>
      <w:szCs w:val="36"/>
      <w:u w:val="single"/>
    </w:rPr>
  </w:style>
  <w:style w:type="character" w:customStyle="1" w:styleId="25">
    <w:name w:val="批注框文本 Char"/>
    <w:basedOn w:val="15"/>
    <w:link w:val="8"/>
    <w:semiHidden/>
    <w:qFormat/>
    <w:uiPriority w:val="99"/>
    <w:rPr>
      <w:rFonts w:ascii="宋体" w:hAnsi="宋体" w:cs="宋体"/>
      <w:sz w:val="18"/>
      <w:szCs w:val="18"/>
    </w:rPr>
  </w:style>
  <w:style w:type="paragraph" w:customStyle="1" w:styleId="26">
    <w:name w:val="正文一"/>
    <w:basedOn w:val="1"/>
    <w:qFormat/>
    <w:uiPriority w:val="0"/>
    <w:pPr>
      <w:autoSpaceDE/>
      <w:autoSpaceDN/>
      <w:adjustRightInd/>
      <w:spacing w:line="600" w:lineRule="exact"/>
      <w:ind w:firstLine="1120" w:firstLineChars="200"/>
      <w:jc w:val="both"/>
    </w:pPr>
    <w:rPr>
      <w:rFonts w:ascii="Times New Roman" w:hAnsi="Times New Roman" w:cs="Times New Roman"/>
      <w:kern w:val="2"/>
      <w:sz w:val="28"/>
      <w:szCs w:val="28"/>
    </w:rPr>
  </w:style>
  <w:style w:type="paragraph" w:styleId="27">
    <w:name w:val="No Spacing"/>
    <w:link w:val="28"/>
    <w:qFormat/>
    <w:uiPriority w:val="1"/>
    <w:rPr>
      <w:rFonts w:asciiTheme="minorHAnsi" w:hAnsiTheme="minorHAnsi" w:eastAsiaTheme="minorEastAsia" w:cstheme="minorBidi"/>
      <w:sz w:val="22"/>
      <w:szCs w:val="22"/>
      <w:lang w:val="en-US" w:eastAsia="zh-CN" w:bidi="ar-SA"/>
    </w:rPr>
  </w:style>
  <w:style w:type="character" w:customStyle="1" w:styleId="28">
    <w:name w:val="无间隔 Char"/>
    <w:basedOn w:val="15"/>
    <w:link w:val="27"/>
    <w:qFormat/>
    <w:uiPriority w:val="1"/>
    <w:rPr>
      <w:rFonts w:asciiTheme="minorHAnsi" w:hAnsiTheme="minorHAnsi" w:eastAsiaTheme="minorEastAsia" w:cstheme="minorBidi"/>
      <w:sz w:val="22"/>
      <w:szCs w:val="22"/>
    </w:rPr>
  </w:style>
  <w:style w:type="character" w:customStyle="1" w:styleId="29">
    <w:name w:val="日期 Char"/>
    <w:basedOn w:val="15"/>
    <w:link w:val="7"/>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2418</Words>
  <Characters>13785</Characters>
  <Lines>114</Lines>
  <Paragraphs>32</Paragraphs>
  <TotalTime>46</TotalTime>
  <ScaleCrop>false</ScaleCrop>
  <LinksUpToDate>false</LinksUpToDate>
  <CharactersWithSpaces>16171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2021-04-13T01:20:00Z</dcterms:created>
  <dc:creator>Windows 用户</dc:creator>
  <cp:lastModifiedBy>administrator</cp:lastModifiedBy>
  <cp:lastPrinted>2021-04-21T08:41:00Z</cp:lastPrinted>
  <dcterms:modified xsi:type="dcterms:W3CDTF">2021-04-23T15:30:08Z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