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jc w:val="center"/>
        <w:textAlignment w:val="center"/>
        <w:rPr>
          <w:rFonts w:hint="eastAsia" w:ascii="宋体" w:hAnsi="宋体" w:eastAsia="宋体" w:cs="宋体"/>
          <w:b/>
          <w:i w:val="0"/>
          <w:iCs w:val="0"/>
          <w:color w:val="000000"/>
          <w:kern w:val="0"/>
          <w:sz w:val="36"/>
          <w:szCs w:val="36"/>
          <w:u w:val="none"/>
          <w:lang w:val="en-US" w:eastAsia="zh-CN" w:bidi="ar"/>
        </w:rPr>
      </w:pPr>
      <w:r>
        <w:rPr>
          <w:rFonts w:hint="eastAsia" w:ascii="宋体" w:hAnsi="宋体" w:cs="宋体"/>
          <w:b/>
          <w:i w:val="0"/>
          <w:iCs w:val="0"/>
          <w:color w:val="000000"/>
          <w:kern w:val="0"/>
          <w:sz w:val="36"/>
          <w:szCs w:val="36"/>
          <w:u w:val="none"/>
          <w:lang w:val="en-US" w:eastAsia="zh-CN" w:bidi="ar"/>
        </w:rPr>
        <w:t>封丘县粮食和物资储备领域不予处罚事项清单</w:t>
      </w: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0"/>
        <w:gridCol w:w="2535"/>
        <w:gridCol w:w="4245"/>
        <w:gridCol w:w="4201"/>
        <w:gridCol w:w="22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2" w:hRule="atLeast"/>
        </w:trPr>
        <w:tc>
          <w:tcPr>
            <w:tcW w:w="810" w:type="dxa"/>
          </w:tcPr>
          <w:p>
            <w:pPr>
              <w:keepNext w:val="0"/>
              <w:keepLines w:val="0"/>
              <w:widowControl/>
              <w:suppressLineNumbers w:val="0"/>
              <w:jc w:val="center"/>
              <w:textAlignment w:val="center"/>
              <w:rPr>
                <w:rFonts w:hint="eastAsia" w:ascii="宋体" w:hAnsi="宋体" w:eastAsia="宋体" w:cs="宋体"/>
                <w:b/>
                <w:i w:val="0"/>
                <w:iCs w:val="0"/>
                <w:color w:val="000000"/>
                <w:kern w:val="0"/>
                <w:sz w:val="28"/>
                <w:szCs w:val="28"/>
                <w:u w:val="none"/>
                <w:lang w:val="en-US" w:eastAsia="zh-CN" w:bidi="ar"/>
              </w:rPr>
            </w:pPr>
            <w:r>
              <w:rPr>
                <w:rFonts w:hint="eastAsia" w:ascii="宋体" w:hAnsi="宋体" w:cs="宋体"/>
                <w:b/>
                <w:i w:val="0"/>
                <w:iCs w:val="0"/>
                <w:color w:val="000000"/>
                <w:kern w:val="0"/>
                <w:sz w:val="28"/>
                <w:szCs w:val="28"/>
                <w:u w:val="none"/>
                <w:lang w:val="en-US" w:eastAsia="zh-CN" w:bidi="ar"/>
              </w:rPr>
              <w:t>序号</w:t>
            </w:r>
          </w:p>
        </w:tc>
        <w:tc>
          <w:tcPr>
            <w:tcW w:w="2535" w:type="dxa"/>
          </w:tcPr>
          <w:p>
            <w:pPr>
              <w:keepNext w:val="0"/>
              <w:keepLines w:val="0"/>
              <w:widowControl/>
              <w:suppressLineNumbers w:val="0"/>
              <w:jc w:val="center"/>
              <w:textAlignment w:val="center"/>
              <w:rPr>
                <w:rFonts w:hint="eastAsia" w:ascii="宋体" w:hAnsi="宋体" w:eastAsia="宋体" w:cs="宋体"/>
                <w:b/>
                <w:i w:val="0"/>
                <w:iCs w:val="0"/>
                <w:color w:val="000000"/>
                <w:kern w:val="0"/>
                <w:sz w:val="28"/>
                <w:szCs w:val="28"/>
                <w:u w:val="none"/>
                <w:lang w:val="en-US" w:eastAsia="zh-CN" w:bidi="ar"/>
              </w:rPr>
            </w:pPr>
            <w:r>
              <w:rPr>
                <w:rFonts w:hint="eastAsia" w:ascii="宋体" w:hAnsi="宋体" w:eastAsia="宋体" w:cs="宋体"/>
                <w:b/>
                <w:i w:val="0"/>
                <w:iCs w:val="0"/>
                <w:color w:val="000000"/>
                <w:kern w:val="0"/>
                <w:sz w:val="28"/>
                <w:szCs w:val="28"/>
                <w:u w:val="none"/>
                <w:lang w:val="en-US" w:eastAsia="zh-CN" w:bidi="ar"/>
              </w:rPr>
              <w:t>处罚事项名称</w:t>
            </w:r>
          </w:p>
        </w:tc>
        <w:tc>
          <w:tcPr>
            <w:tcW w:w="4245" w:type="dxa"/>
          </w:tcPr>
          <w:p>
            <w:pPr>
              <w:keepNext w:val="0"/>
              <w:keepLines w:val="0"/>
              <w:widowControl/>
              <w:suppressLineNumbers w:val="0"/>
              <w:jc w:val="center"/>
              <w:textAlignment w:val="center"/>
              <w:rPr>
                <w:rFonts w:hint="eastAsia" w:ascii="宋体" w:hAnsi="宋体" w:eastAsia="宋体" w:cs="宋体"/>
                <w:b/>
                <w:i w:val="0"/>
                <w:iCs w:val="0"/>
                <w:color w:val="000000"/>
                <w:kern w:val="0"/>
                <w:sz w:val="28"/>
                <w:szCs w:val="28"/>
                <w:u w:val="none"/>
                <w:lang w:val="en-US" w:eastAsia="zh-CN" w:bidi="ar"/>
              </w:rPr>
            </w:pPr>
            <w:r>
              <w:rPr>
                <w:rFonts w:hint="eastAsia" w:ascii="宋体" w:hAnsi="宋体" w:eastAsia="宋体" w:cs="宋体"/>
                <w:b/>
                <w:i w:val="0"/>
                <w:iCs w:val="0"/>
                <w:color w:val="000000"/>
                <w:kern w:val="0"/>
                <w:sz w:val="28"/>
                <w:szCs w:val="28"/>
                <w:u w:val="none"/>
                <w:lang w:val="en-US" w:eastAsia="zh-CN" w:bidi="ar"/>
              </w:rPr>
              <w:t>从轻处罚情形</w:t>
            </w:r>
          </w:p>
        </w:tc>
        <w:tc>
          <w:tcPr>
            <w:tcW w:w="4201" w:type="dxa"/>
          </w:tcPr>
          <w:p>
            <w:pPr>
              <w:keepNext w:val="0"/>
              <w:keepLines w:val="0"/>
              <w:widowControl/>
              <w:suppressLineNumbers w:val="0"/>
              <w:jc w:val="center"/>
              <w:textAlignment w:val="center"/>
              <w:rPr>
                <w:rFonts w:hint="eastAsia" w:ascii="宋体" w:hAnsi="宋体" w:eastAsia="宋体" w:cs="宋体"/>
                <w:b/>
                <w:i w:val="0"/>
                <w:iCs w:val="0"/>
                <w:color w:val="000000"/>
                <w:kern w:val="0"/>
                <w:sz w:val="28"/>
                <w:szCs w:val="28"/>
                <w:u w:val="none"/>
                <w:lang w:val="en-US" w:eastAsia="zh-CN" w:bidi="ar"/>
              </w:rPr>
            </w:pPr>
            <w:r>
              <w:rPr>
                <w:rFonts w:hint="eastAsia" w:ascii="宋体" w:hAnsi="宋体" w:eastAsia="宋体" w:cs="宋体"/>
                <w:b/>
                <w:i w:val="0"/>
                <w:iCs w:val="0"/>
                <w:color w:val="000000"/>
                <w:kern w:val="0"/>
                <w:sz w:val="28"/>
                <w:szCs w:val="28"/>
                <w:u w:val="none"/>
                <w:lang w:val="en-US" w:eastAsia="zh-CN" w:bidi="ar"/>
              </w:rPr>
              <w:t>从轻处罚依据</w:t>
            </w:r>
          </w:p>
        </w:tc>
        <w:tc>
          <w:tcPr>
            <w:tcW w:w="2265" w:type="dxa"/>
          </w:tcPr>
          <w:p>
            <w:pPr>
              <w:keepNext w:val="0"/>
              <w:keepLines w:val="0"/>
              <w:widowControl/>
              <w:suppressLineNumbers w:val="0"/>
              <w:jc w:val="center"/>
              <w:textAlignment w:val="center"/>
              <w:rPr>
                <w:rFonts w:hint="eastAsia" w:ascii="宋体" w:hAnsi="宋体" w:eastAsia="宋体" w:cs="宋体"/>
                <w:b/>
                <w:i w:val="0"/>
                <w:iCs w:val="0"/>
                <w:color w:val="000000"/>
                <w:kern w:val="0"/>
                <w:sz w:val="28"/>
                <w:szCs w:val="28"/>
                <w:u w:val="none"/>
                <w:lang w:val="en-US" w:eastAsia="zh-CN" w:bidi="ar"/>
              </w:rPr>
            </w:pPr>
            <w:r>
              <w:rPr>
                <w:rFonts w:hint="eastAsia" w:ascii="宋体" w:hAnsi="宋体" w:eastAsia="宋体" w:cs="宋体"/>
                <w:b/>
                <w:i w:val="0"/>
                <w:iCs w:val="0"/>
                <w:color w:val="000000"/>
                <w:kern w:val="0"/>
                <w:sz w:val="28"/>
                <w:szCs w:val="28"/>
                <w:u w:val="none"/>
                <w:lang w:val="en-US" w:eastAsia="zh-CN" w:bidi="ar"/>
              </w:rPr>
              <w:t>配套监管措施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6" w:hRule="atLeast"/>
        </w:trPr>
        <w:tc>
          <w:tcPr>
            <w:tcW w:w="810" w:type="dxa"/>
          </w:tcPr>
          <w:p>
            <w:pPr>
              <w:keepNext w:val="0"/>
              <w:keepLines w:val="0"/>
              <w:widowControl/>
              <w:suppressLineNumbers w:val="0"/>
              <w:jc w:val="both"/>
              <w:textAlignment w:val="center"/>
              <w:rPr>
                <w:rFonts w:hint="eastAsia" w:ascii="宋体" w:hAnsi="宋体" w:eastAsia="宋体" w:cs="宋体"/>
                <w:i w:val="0"/>
                <w:color w:val="000000"/>
                <w:kern w:val="0"/>
                <w:sz w:val="24"/>
                <w:szCs w:val="24"/>
                <w:u w:val="none"/>
                <w:lang w:val="en-US" w:eastAsia="zh-CN" w:bidi="ar"/>
              </w:rPr>
            </w:pPr>
          </w:p>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
              </w:rPr>
            </w:pPr>
          </w:p>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
              </w:rPr>
            </w:pPr>
          </w:p>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1</w:t>
            </w:r>
          </w:p>
        </w:tc>
        <w:tc>
          <w:tcPr>
            <w:tcW w:w="2535" w:type="dxa"/>
          </w:tcPr>
          <w:p>
            <w:pPr>
              <w:keepNext w:val="0"/>
              <w:keepLines w:val="0"/>
              <w:widowControl/>
              <w:suppressLineNumbers w:val="0"/>
              <w:jc w:val="left"/>
              <w:textAlignment w:val="center"/>
              <w:rPr>
                <w:rFonts w:hint="eastAsia" w:ascii="宋体" w:hAnsi="宋体" w:eastAsia="宋体" w:cs="宋体"/>
                <w:i w:val="0"/>
                <w:color w:val="000000"/>
                <w:kern w:val="0"/>
                <w:sz w:val="24"/>
                <w:szCs w:val="24"/>
                <w:u w:val="none"/>
                <w:lang w:val="en-US" w:eastAsia="zh-CN" w:bidi="ar"/>
              </w:rPr>
            </w:pPr>
          </w:p>
          <w:p>
            <w:pPr>
              <w:keepNext w:val="0"/>
              <w:keepLines w:val="0"/>
              <w:widowControl/>
              <w:suppressLineNumbers w:val="0"/>
              <w:jc w:val="left"/>
              <w:textAlignment w:val="center"/>
              <w:rPr>
                <w:rFonts w:hint="eastAsia" w:ascii="宋体" w:hAnsi="宋体" w:eastAsia="宋体" w:cs="宋体"/>
                <w:i w:val="0"/>
                <w:color w:val="000000"/>
                <w:kern w:val="0"/>
                <w:sz w:val="24"/>
                <w:szCs w:val="24"/>
                <w:u w:val="none"/>
                <w:lang w:val="en-US" w:eastAsia="zh-CN" w:bidi="ar"/>
              </w:rPr>
            </w:pPr>
          </w:p>
          <w:p>
            <w:pPr>
              <w:keepNext w:val="0"/>
              <w:keepLines w:val="0"/>
              <w:widowControl/>
              <w:suppressLineNumbers w:val="0"/>
              <w:jc w:val="left"/>
              <w:textAlignment w:val="center"/>
              <w:rPr>
                <w:rFonts w:hint="eastAsia" w:ascii="宋体" w:hAnsi="宋体" w:eastAsia="宋体" w:cs="宋体"/>
                <w:i w:val="0"/>
                <w:color w:val="000000"/>
                <w:kern w:val="0"/>
                <w:sz w:val="24"/>
                <w:szCs w:val="24"/>
                <w:u w:val="none"/>
                <w:lang w:val="en-US" w:eastAsia="zh-CN" w:bidi="ar"/>
              </w:rPr>
            </w:pPr>
          </w:p>
          <w:p>
            <w:pPr>
              <w:keepNext w:val="0"/>
              <w:keepLines w:val="0"/>
              <w:widowControl/>
              <w:suppressLineNumbers w:val="0"/>
              <w:jc w:val="left"/>
              <w:textAlignment w:val="center"/>
              <w:rPr>
                <w:rFonts w:hint="eastAsia" w:ascii="宋体" w:hAnsi="宋体" w:eastAsia="宋体" w:cs="宋体"/>
                <w:i w:val="0"/>
                <w:color w:val="000000"/>
                <w:kern w:val="0"/>
                <w:sz w:val="24"/>
                <w:szCs w:val="24"/>
                <w:u w:val="none"/>
                <w:lang w:val="en-US" w:eastAsia="zh-CN" w:bidi="ar"/>
              </w:rPr>
            </w:pPr>
          </w:p>
          <w:p>
            <w:pPr>
              <w:keepNext w:val="0"/>
              <w:keepLines w:val="0"/>
              <w:widowControl/>
              <w:suppressLineNumbers w:val="0"/>
              <w:jc w:val="left"/>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从事粮食收购、销售、储存、加工的粮食经营者以及饲料、工业用粮企业未建立粮食经营台账的行为。</w:t>
            </w:r>
          </w:p>
        </w:tc>
        <w:tc>
          <w:tcPr>
            <w:tcW w:w="4245" w:type="dxa"/>
          </w:tcPr>
          <w:p>
            <w:pPr>
              <w:keepNext w:val="0"/>
              <w:keepLines w:val="0"/>
              <w:widowControl/>
              <w:suppressLineNumbers w:val="0"/>
              <w:jc w:val="left"/>
              <w:textAlignment w:val="center"/>
              <w:rPr>
                <w:rFonts w:hint="eastAsia" w:ascii="宋体" w:hAnsi="宋体" w:eastAsia="宋体" w:cs="宋体"/>
                <w:i w:val="0"/>
                <w:color w:val="000000"/>
                <w:kern w:val="0"/>
                <w:sz w:val="24"/>
                <w:szCs w:val="24"/>
                <w:u w:val="none"/>
                <w:lang w:val="en-US" w:eastAsia="zh-CN" w:bidi="ar"/>
              </w:rPr>
            </w:pPr>
          </w:p>
          <w:p>
            <w:pPr>
              <w:keepNext w:val="0"/>
              <w:keepLines w:val="0"/>
              <w:widowControl/>
              <w:suppressLineNumbers w:val="0"/>
              <w:jc w:val="left"/>
              <w:textAlignment w:val="center"/>
              <w:rPr>
                <w:rFonts w:hint="eastAsia" w:ascii="宋体" w:hAnsi="宋体" w:eastAsia="宋体" w:cs="宋体"/>
                <w:i w:val="0"/>
                <w:color w:val="000000"/>
                <w:kern w:val="0"/>
                <w:sz w:val="24"/>
                <w:szCs w:val="24"/>
                <w:u w:val="none"/>
                <w:lang w:val="en-US" w:eastAsia="zh-CN" w:bidi="ar"/>
              </w:rPr>
            </w:pPr>
          </w:p>
          <w:p>
            <w:pPr>
              <w:keepNext w:val="0"/>
              <w:keepLines w:val="0"/>
              <w:widowControl/>
              <w:suppressLineNumbers w:val="0"/>
              <w:jc w:val="left"/>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同时满足以下条件：</w:t>
            </w:r>
          </w:p>
          <w:p>
            <w:pPr>
              <w:keepNext w:val="0"/>
              <w:keepLines w:val="0"/>
              <w:widowControl/>
              <w:suppressLineNumbers w:val="0"/>
              <w:jc w:val="left"/>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1、情节轻微，未造成社会不良影响；</w:t>
            </w:r>
          </w:p>
          <w:p>
            <w:pPr>
              <w:keepNext w:val="0"/>
              <w:keepLines w:val="0"/>
              <w:widowControl/>
              <w:suppressLineNumbers w:val="0"/>
              <w:jc w:val="left"/>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2、从事粮食收购、销售、储存、加工的粮食经营者以及饲料、工业用粮企业7天以内未建立粮食经营台账</w:t>
            </w:r>
            <w:r>
              <w:rPr>
                <w:rStyle w:val="5"/>
                <w:rFonts w:hint="eastAsia" w:ascii="宋体" w:hAnsi="宋体" w:eastAsia="宋体" w:cs="宋体"/>
                <w:sz w:val="24"/>
                <w:szCs w:val="24"/>
                <w:lang w:val="en-US" w:eastAsia="zh-CN" w:bidi="ar"/>
              </w:rPr>
              <w:t>，经粮食和储备行政管理部门责令改正后立即改正的。</w:t>
            </w:r>
          </w:p>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
              </w:rPr>
            </w:pPr>
          </w:p>
        </w:tc>
        <w:tc>
          <w:tcPr>
            <w:tcW w:w="4201" w:type="dxa"/>
          </w:tcPr>
          <w:p>
            <w:pPr>
              <w:keepNext w:val="0"/>
              <w:keepLines w:val="0"/>
              <w:widowControl/>
              <w:numPr>
                <w:ilvl w:val="0"/>
                <w:numId w:val="0"/>
              </w:numPr>
              <w:suppressLineNumbers w:val="0"/>
              <w:jc w:val="left"/>
              <w:textAlignment w:val="center"/>
              <w:rPr>
                <w:rFonts w:hint="eastAsia" w:ascii="宋体" w:hAnsi="宋体" w:eastAsia="宋体" w:cs="宋体"/>
                <w:i w:val="0"/>
                <w:color w:val="000000"/>
                <w:kern w:val="0"/>
                <w:sz w:val="24"/>
                <w:szCs w:val="24"/>
                <w:u w:val="none"/>
                <w:lang w:val="en-US" w:eastAsia="zh-CN" w:bidi="ar"/>
              </w:rPr>
            </w:pPr>
          </w:p>
          <w:p>
            <w:pPr>
              <w:keepNext w:val="0"/>
              <w:keepLines w:val="0"/>
              <w:widowControl/>
              <w:numPr>
                <w:ilvl w:val="0"/>
                <w:numId w:val="0"/>
              </w:numPr>
              <w:suppressLineNumbers w:val="0"/>
              <w:jc w:val="left"/>
              <w:textAlignment w:val="center"/>
              <w:rPr>
                <w:rFonts w:hint="eastAsia" w:ascii="宋体" w:hAnsi="宋体" w:eastAsia="宋体" w:cs="宋体"/>
                <w:i w:val="0"/>
                <w:color w:val="000000"/>
                <w:kern w:val="0"/>
                <w:sz w:val="24"/>
                <w:szCs w:val="24"/>
                <w:u w:val="none"/>
                <w:lang w:val="en-US" w:eastAsia="zh-CN" w:bidi="ar"/>
              </w:rPr>
            </w:pPr>
          </w:p>
          <w:p>
            <w:pPr>
              <w:keepNext w:val="0"/>
              <w:keepLines w:val="0"/>
              <w:widowControl/>
              <w:numPr>
                <w:ilvl w:val="0"/>
                <w:numId w:val="0"/>
              </w:numPr>
              <w:suppressLineNumbers w:val="0"/>
              <w:jc w:val="left"/>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1</w:t>
            </w:r>
            <w:r>
              <w:rPr>
                <w:rFonts w:hint="eastAsia" w:ascii="宋体" w:hAnsi="宋体" w:cs="宋体"/>
                <w:i w:val="0"/>
                <w:color w:val="000000"/>
                <w:kern w:val="0"/>
                <w:sz w:val="24"/>
                <w:szCs w:val="24"/>
                <w:u w:val="none"/>
                <w:lang w:val="en-US" w:eastAsia="zh-CN" w:bidi="ar"/>
              </w:rPr>
              <w:t>、</w:t>
            </w:r>
            <w:r>
              <w:rPr>
                <w:rFonts w:hint="eastAsia" w:ascii="宋体" w:hAnsi="宋体" w:eastAsia="宋体" w:cs="宋体"/>
                <w:i w:val="0"/>
                <w:color w:val="000000"/>
                <w:kern w:val="0"/>
                <w:sz w:val="24"/>
                <w:szCs w:val="24"/>
                <w:u w:val="none"/>
                <w:lang w:val="en-US" w:eastAsia="zh-CN" w:bidi="ar"/>
              </w:rPr>
              <w:t>《粮食流通管理条例》（2021年修订）第四十五条第五项。</w:t>
            </w:r>
            <w:r>
              <w:rPr>
                <w:rFonts w:hint="eastAsia" w:ascii="宋体" w:hAnsi="宋体" w:eastAsia="宋体" w:cs="宋体"/>
                <w:i w:val="0"/>
                <w:color w:val="000000"/>
                <w:kern w:val="0"/>
                <w:sz w:val="24"/>
                <w:szCs w:val="24"/>
                <w:u w:val="none"/>
                <w:lang w:val="en-US" w:eastAsia="zh-CN" w:bidi="ar"/>
              </w:rPr>
              <w:br w:type="textWrapping"/>
            </w:r>
            <w:r>
              <w:rPr>
                <w:rFonts w:hint="eastAsia" w:ascii="宋体" w:hAnsi="宋体" w:cs="宋体"/>
                <w:i w:val="0"/>
                <w:color w:val="000000"/>
                <w:kern w:val="0"/>
                <w:sz w:val="24"/>
                <w:szCs w:val="24"/>
                <w:u w:val="none"/>
                <w:lang w:val="en-US" w:eastAsia="zh-CN" w:bidi="ar"/>
              </w:rPr>
              <w:t>2、</w:t>
            </w:r>
            <w:r>
              <w:rPr>
                <w:rFonts w:hint="eastAsia" w:ascii="宋体" w:hAnsi="宋体" w:eastAsia="宋体" w:cs="宋体"/>
                <w:i w:val="0"/>
                <w:color w:val="000000"/>
                <w:kern w:val="0"/>
                <w:sz w:val="24"/>
                <w:szCs w:val="24"/>
                <w:u w:val="none"/>
                <w:lang w:val="en-US" w:eastAsia="zh-CN" w:bidi="ar"/>
              </w:rPr>
              <w:t>《中华人民共和国行政处罚法》（2021年修订）第三十三条</w:t>
            </w:r>
          </w:p>
          <w:p>
            <w:pPr>
              <w:keepNext w:val="0"/>
              <w:keepLines w:val="0"/>
              <w:widowControl/>
              <w:numPr>
                <w:ilvl w:val="0"/>
                <w:numId w:val="0"/>
              </w:numPr>
              <w:suppressLineNumbers w:val="0"/>
              <w:jc w:val="left"/>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3、《河南省优化营商环境条例》（2020年11月28日通过）第五十四条。</w:t>
            </w:r>
          </w:p>
        </w:tc>
        <w:tc>
          <w:tcPr>
            <w:tcW w:w="2265" w:type="dxa"/>
            <w:vMerge w:val="restart"/>
          </w:tcPr>
          <w:p>
            <w:pPr>
              <w:keepNext w:val="0"/>
              <w:keepLines w:val="0"/>
              <w:widowControl/>
              <w:suppressLineNumbers w:val="0"/>
              <w:jc w:val="both"/>
              <w:textAlignment w:val="center"/>
              <w:rPr>
                <w:rFonts w:hint="eastAsia" w:ascii="宋体" w:hAnsi="宋体" w:eastAsia="宋体" w:cs="宋体"/>
                <w:i w:val="0"/>
                <w:color w:val="000000"/>
                <w:kern w:val="0"/>
                <w:sz w:val="24"/>
                <w:szCs w:val="24"/>
                <w:u w:val="none"/>
                <w:lang w:val="en-US" w:eastAsia="zh-CN" w:bidi="ar"/>
              </w:rPr>
            </w:pPr>
          </w:p>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
              </w:rPr>
            </w:pPr>
          </w:p>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
              </w:rPr>
            </w:pPr>
          </w:p>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
              </w:rPr>
            </w:pPr>
          </w:p>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
              </w:rPr>
            </w:pPr>
          </w:p>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
              </w:rPr>
            </w:pPr>
          </w:p>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
              </w:rPr>
            </w:pPr>
          </w:p>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违法行为预警、行政指导、行政约谈、行政回访。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45" w:hRule="atLeast"/>
        </w:trPr>
        <w:tc>
          <w:tcPr>
            <w:tcW w:w="810" w:type="dxa"/>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
              </w:rPr>
            </w:pPr>
          </w:p>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2</w:t>
            </w:r>
          </w:p>
        </w:tc>
        <w:tc>
          <w:tcPr>
            <w:tcW w:w="2535" w:type="dxa"/>
          </w:tcPr>
          <w:p>
            <w:pPr>
              <w:keepNext w:val="0"/>
              <w:keepLines w:val="0"/>
              <w:widowControl/>
              <w:suppressLineNumbers w:val="0"/>
              <w:jc w:val="left"/>
              <w:textAlignment w:val="center"/>
              <w:rPr>
                <w:rFonts w:hint="eastAsia" w:ascii="宋体" w:hAnsi="宋体" w:eastAsia="宋体" w:cs="宋体"/>
                <w:i w:val="0"/>
                <w:color w:val="000000"/>
                <w:kern w:val="0"/>
                <w:sz w:val="24"/>
                <w:szCs w:val="24"/>
                <w:u w:val="none"/>
                <w:lang w:val="en-US" w:eastAsia="zh-CN" w:bidi="ar"/>
              </w:rPr>
            </w:pPr>
          </w:p>
          <w:p>
            <w:pPr>
              <w:keepNext w:val="0"/>
              <w:keepLines w:val="0"/>
              <w:widowControl/>
              <w:suppressLineNumbers w:val="0"/>
              <w:jc w:val="left"/>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无主观过错的违法行为</w:t>
            </w:r>
          </w:p>
        </w:tc>
        <w:tc>
          <w:tcPr>
            <w:tcW w:w="4245" w:type="dxa"/>
          </w:tcPr>
          <w:p>
            <w:pPr>
              <w:keepNext w:val="0"/>
              <w:keepLines w:val="0"/>
              <w:widowControl/>
              <w:suppressLineNumbers w:val="0"/>
              <w:jc w:val="left"/>
              <w:textAlignment w:val="center"/>
              <w:rPr>
                <w:rFonts w:hint="eastAsia" w:ascii="宋体" w:hAnsi="宋体" w:eastAsia="宋体" w:cs="宋体"/>
                <w:i w:val="0"/>
                <w:color w:val="000000"/>
                <w:kern w:val="0"/>
                <w:sz w:val="24"/>
                <w:szCs w:val="24"/>
                <w:u w:val="none"/>
                <w:lang w:val="en-US" w:eastAsia="zh-CN" w:bidi="ar"/>
              </w:rPr>
            </w:pPr>
          </w:p>
          <w:p>
            <w:pPr>
              <w:keepNext w:val="0"/>
              <w:keepLines w:val="0"/>
              <w:widowControl/>
              <w:suppressLineNumbers w:val="0"/>
              <w:jc w:val="left"/>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当事人有足够证据足以证明没有主观过错的</w:t>
            </w:r>
          </w:p>
        </w:tc>
        <w:tc>
          <w:tcPr>
            <w:tcW w:w="4201" w:type="dxa"/>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
              </w:rPr>
            </w:pPr>
          </w:p>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《中华人民共和国行政处罚法》（2021年修订）第三十三条</w:t>
            </w:r>
          </w:p>
        </w:tc>
        <w:tc>
          <w:tcPr>
            <w:tcW w:w="2265" w:type="dxa"/>
            <w:vMerge w:val="continue"/>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
              </w:rPr>
            </w:pPr>
          </w:p>
        </w:tc>
      </w:tr>
    </w:tbl>
    <w:p>
      <w:pPr>
        <w:jc w:val="center"/>
        <w:rPr>
          <w:rFonts w:hint="eastAsia" w:ascii="黑体" w:hAnsi="黑体" w:eastAsia="黑体" w:cs="黑体"/>
          <w:sz w:val="36"/>
          <w:szCs w:val="36"/>
          <w:lang w:eastAsia="zh-CN"/>
        </w:rPr>
      </w:pPr>
    </w:p>
    <w:p>
      <w:pPr>
        <w:jc w:val="center"/>
        <w:rPr>
          <w:rFonts w:hint="eastAsia" w:ascii="黑体" w:hAnsi="黑体" w:eastAsia="黑体" w:cs="黑体"/>
          <w:sz w:val="36"/>
          <w:szCs w:val="36"/>
          <w:lang w:eastAsia="zh-CN"/>
        </w:rPr>
      </w:pPr>
      <w:r>
        <w:rPr>
          <w:rFonts w:hint="eastAsia" w:ascii="黑体" w:hAnsi="黑体" w:eastAsia="黑体" w:cs="黑体"/>
          <w:sz w:val="36"/>
          <w:szCs w:val="36"/>
          <w:lang w:eastAsia="zh-CN"/>
        </w:rPr>
        <w:t>封丘县粮食和物资储备领域从轻处罚事项清单</w:t>
      </w: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36"/>
        <w:gridCol w:w="2985"/>
        <w:gridCol w:w="4470"/>
        <w:gridCol w:w="3000"/>
        <w:gridCol w:w="19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7" w:hRule="atLeast"/>
        </w:trPr>
        <w:tc>
          <w:tcPr>
            <w:tcW w:w="1636" w:type="dxa"/>
          </w:tcPr>
          <w:p>
            <w:pPr>
              <w:keepNext w:val="0"/>
              <w:keepLines w:val="0"/>
              <w:widowControl/>
              <w:suppressLineNumbers w:val="0"/>
              <w:jc w:val="center"/>
              <w:textAlignment w:val="center"/>
              <w:rPr>
                <w:rFonts w:hint="eastAsia" w:ascii="宋体" w:hAnsi="宋体" w:eastAsia="宋体" w:cs="宋体"/>
                <w:b/>
                <w:i w:val="0"/>
                <w:color w:val="000000"/>
                <w:kern w:val="0"/>
                <w:sz w:val="36"/>
                <w:szCs w:val="36"/>
                <w:u w:val="none"/>
                <w:lang w:val="en-US" w:eastAsia="zh-CN" w:bidi="ar"/>
              </w:rPr>
            </w:pPr>
            <w:r>
              <w:rPr>
                <w:rFonts w:hint="eastAsia" w:ascii="宋体" w:hAnsi="宋体" w:eastAsia="宋体" w:cs="宋体"/>
                <w:b/>
                <w:i w:val="0"/>
                <w:color w:val="000000"/>
                <w:kern w:val="0"/>
                <w:sz w:val="36"/>
                <w:szCs w:val="36"/>
                <w:u w:val="none"/>
                <w:lang w:val="en-US" w:eastAsia="zh-CN" w:bidi="ar"/>
              </w:rPr>
              <w:t>序号</w:t>
            </w:r>
          </w:p>
        </w:tc>
        <w:tc>
          <w:tcPr>
            <w:tcW w:w="2985" w:type="dxa"/>
          </w:tcPr>
          <w:p>
            <w:pPr>
              <w:keepNext w:val="0"/>
              <w:keepLines w:val="0"/>
              <w:widowControl/>
              <w:suppressLineNumbers w:val="0"/>
              <w:jc w:val="center"/>
              <w:textAlignment w:val="center"/>
              <w:rPr>
                <w:rFonts w:hint="eastAsia" w:ascii="宋体" w:hAnsi="宋体" w:eastAsia="宋体" w:cs="宋体"/>
                <w:b/>
                <w:i w:val="0"/>
                <w:color w:val="000000"/>
                <w:kern w:val="0"/>
                <w:sz w:val="36"/>
                <w:szCs w:val="36"/>
                <w:u w:val="none"/>
                <w:lang w:val="en-US" w:eastAsia="zh-CN" w:bidi="ar"/>
              </w:rPr>
            </w:pPr>
            <w:r>
              <w:rPr>
                <w:rFonts w:hint="eastAsia" w:ascii="宋体" w:hAnsi="宋体" w:eastAsia="宋体" w:cs="宋体"/>
                <w:b/>
                <w:i w:val="0"/>
                <w:color w:val="000000"/>
                <w:kern w:val="0"/>
                <w:sz w:val="36"/>
                <w:szCs w:val="36"/>
                <w:u w:val="none"/>
                <w:lang w:val="en-US" w:eastAsia="zh-CN" w:bidi="ar"/>
              </w:rPr>
              <w:t>处罚事项名称</w:t>
            </w:r>
          </w:p>
        </w:tc>
        <w:tc>
          <w:tcPr>
            <w:tcW w:w="4470" w:type="dxa"/>
          </w:tcPr>
          <w:p>
            <w:pPr>
              <w:keepNext w:val="0"/>
              <w:keepLines w:val="0"/>
              <w:widowControl/>
              <w:suppressLineNumbers w:val="0"/>
              <w:jc w:val="center"/>
              <w:textAlignment w:val="center"/>
              <w:rPr>
                <w:rFonts w:hint="eastAsia" w:ascii="宋体" w:hAnsi="宋体" w:eastAsia="宋体" w:cs="宋体"/>
                <w:b/>
                <w:i w:val="0"/>
                <w:color w:val="000000"/>
                <w:kern w:val="0"/>
                <w:sz w:val="36"/>
                <w:szCs w:val="36"/>
                <w:u w:val="none"/>
                <w:lang w:val="en-US" w:eastAsia="zh-CN" w:bidi="ar"/>
              </w:rPr>
            </w:pPr>
            <w:r>
              <w:rPr>
                <w:rFonts w:hint="eastAsia" w:ascii="宋体" w:hAnsi="宋体" w:eastAsia="宋体" w:cs="宋体"/>
                <w:b/>
                <w:i w:val="0"/>
                <w:color w:val="000000"/>
                <w:kern w:val="0"/>
                <w:sz w:val="36"/>
                <w:szCs w:val="36"/>
                <w:u w:val="none"/>
                <w:lang w:val="en-US" w:eastAsia="zh-CN" w:bidi="ar"/>
              </w:rPr>
              <w:t>从轻处罚情形</w:t>
            </w:r>
          </w:p>
        </w:tc>
        <w:tc>
          <w:tcPr>
            <w:tcW w:w="3000" w:type="dxa"/>
          </w:tcPr>
          <w:p>
            <w:pPr>
              <w:keepNext w:val="0"/>
              <w:keepLines w:val="0"/>
              <w:widowControl/>
              <w:suppressLineNumbers w:val="0"/>
              <w:jc w:val="center"/>
              <w:textAlignment w:val="center"/>
              <w:rPr>
                <w:rFonts w:hint="eastAsia" w:ascii="宋体" w:hAnsi="宋体" w:eastAsia="宋体" w:cs="宋体"/>
                <w:b/>
                <w:i w:val="0"/>
                <w:color w:val="000000"/>
                <w:kern w:val="0"/>
                <w:sz w:val="36"/>
                <w:szCs w:val="36"/>
                <w:u w:val="none"/>
                <w:lang w:val="en-US" w:eastAsia="zh-CN" w:bidi="ar"/>
              </w:rPr>
            </w:pPr>
            <w:r>
              <w:rPr>
                <w:rFonts w:hint="eastAsia" w:ascii="宋体" w:hAnsi="宋体" w:eastAsia="宋体" w:cs="宋体"/>
                <w:b/>
                <w:i w:val="0"/>
                <w:color w:val="000000"/>
                <w:kern w:val="0"/>
                <w:sz w:val="36"/>
                <w:szCs w:val="36"/>
                <w:u w:val="none"/>
                <w:lang w:val="en-US" w:eastAsia="zh-CN" w:bidi="ar"/>
              </w:rPr>
              <w:t>从轻处罚依据</w:t>
            </w:r>
          </w:p>
        </w:tc>
        <w:tc>
          <w:tcPr>
            <w:tcW w:w="1950" w:type="dxa"/>
          </w:tcPr>
          <w:p>
            <w:pPr>
              <w:keepNext w:val="0"/>
              <w:keepLines w:val="0"/>
              <w:widowControl/>
              <w:suppressLineNumbers w:val="0"/>
              <w:jc w:val="center"/>
              <w:textAlignment w:val="center"/>
              <w:rPr>
                <w:rFonts w:hint="eastAsia" w:ascii="宋体" w:hAnsi="宋体" w:eastAsia="宋体" w:cs="宋体"/>
                <w:b/>
                <w:i w:val="0"/>
                <w:color w:val="000000"/>
                <w:kern w:val="0"/>
                <w:sz w:val="36"/>
                <w:szCs w:val="36"/>
                <w:u w:val="none"/>
                <w:lang w:val="en-US" w:eastAsia="zh-CN" w:bidi="ar"/>
              </w:rPr>
            </w:pPr>
            <w:r>
              <w:rPr>
                <w:rFonts w:hint="eastAsia" w:ascii="宋体" w:hAnsi="宋体" w:eastAsia="宋体" w:cs="宋体"/>
                <w:b/>
                <w:i w:val="0"/>
                <w:color w:val="000000"/>
                <w:kern w:val="0"/>
                <w:sz w:val="36"/>
                <w:szCs w:val="36"/>
                <w:u w:val="none"/>
                <w:lang w:val="en-US" w:eastAsia="zh-CN" w:bidi="ar"/>
              </w:rPr>
              <w:t>配套监管措施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3" w:hRule="atLeast"/>
        </w:trPr>
        <w:tc>
          <w:tcPr>
            <w:tcW w:w="1636" w:type="dxa"/>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
              </w:rPr>
            </w:pPr>
          </w:p>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
              </w:rPr>
            </w:pPr>
          </w:p>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
              </w:rPr>
            </w:pPr>
          </w:p>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
              </w:rPr>
            </w:pPr>
          </w:p>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
              </w:rPr>
            </w:pPr>
          </w:p>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
              </w:rPr>
            </w:pPr>
          </w:p>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
              </w:rPr>
            </w:pPr>
          </w:p>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1</w:t>
            </w:r>
          </w:p>
        </w:tc>
        <w:tc>
          <w:tcPr>
            <w:tcW w:w="2985" w:type="dxa"/>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
              </w:rPr>
            </w:pPr>
          </w:p>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
              </w:rPr>
            </w:pPr>
          </w:p>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
              </w:rPr>
            </w:pPr>
          </w:p>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从事粮食收购、销售、储存、加工的粮食经营者以及饲料、工业用粮企业未按照规定报送粮食基本数据和有关情况行为。</w:t>
            </w:r>
          </w:p>
        </w:tc>
        <w:tc>
          <w:tcPr>
            <w:tcW w:w="4470" w:type="dxa"/>
          </w:tcPr>
          <w:p>
            <w:pPr>
              <w:keepNext w:val="0"/>
              <w:keepLines w:val="0"/>
              <w:widowControl/>
              <w:suppressLineNumbers w:val="0"/>
              <w:jc w:val="left"/>
              <w:textAlignment w:val="center"/>
              <w:rPr>
                <w:rFonts w:hint="eastAsia" w:ascii="宋体" w:hAnsi="宋体" w:eastAsia="宋体" w:cs="宋体"/>
                <w:i w:val="0"/>
                <w:color w:val="000000"/>
                <w:kern w:val="0"/>
                <w:sz w:val="24"/>
                <w:szCs w:val="24"/>
                <w:u w:val="none"/>
                <w:lang w:val="en-US" w:eastAsia="zh-CN" w:bidi="ar"/>
              </w:rPr>
            </w:pPr>
          </w:p>
          <w:p>
            <w:pPr>
              <w:keepNext w:val="0"/>
              <w:keepLines w:val="0"/>
              <w:widowControl/>
              <w:suppressLineNumbers w:val="0"/>
              <w:jc w:val="left"/>
              <w:textAlignment w:val="center"/>
              <w:rPr>
                <w:rFonts w:hint="eastAsia" w:ascii="宋体" w:hAnsi="宋体" w:eastAsia="宋体" w:cs="宋体"/>
                <w:i w:val="0"/>
                <w:color w:val="000000"/>
                <w:kern w:val="0"/>
                <w:sz w:val="24"/>
                <w:szCs w:val="24"/>
                <w:u w:val="none"/>
                <w:lang w:val="en-US" w:eastAsia="zh-CN" w:bidi="ar"/>
              </w:rPr>
            </w:pPr>
          </w:p>
          <w:p>
            <w:pPr>
              <w:keepNext w:val="0"/>
              <w:keepLines w:val="0"/>
              <w:widowControl/>
              <w:suppressLineNumbers w:val="0"/>
              <w:jc w:val="left"/>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同时满足以下条件：</w:t>
            </w:r>
          </w:p>
          <w:p>
            <w:pPr>
              <w:keepNext w:val="0"/>
              <w:keepLines w:val="0"/>
              <w:widowControl/>
              <w:suppressLineNumbers w:val="0"/>
              <w:jc w:val="left"/>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1、当事人主动投案，向粮食和物资储备行政管理部门如实陈述自己的违法行为，积极消除或者减轻违法行为危害后果的；</w:t>
            </w:r>
          </w:p>
          <w:p>
            <w:pPr>
              <w:keepNext w:val="0"/>
              <w:keepLines w:val="0"/>
              <w:widowControl/>
              <w:suppressLineNumbers w:val="0"/>
              <w:jc w:val="left"/>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2、未造成社会不良影响；</w:t>
            </w:r>
          </w:p>
          <w:p>
            <w:pPr>
              <w:keepNext w:val="0"/>
              <w:keepLines w:val="0"/>
              <w:widowControl/>
              <w:suppressLineNumbers w:val="0"/>
              <w:jc w:val="left"/>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3、在粮食和储备行政管理部门执法机构发出责令改正通知之前自行纠正违法行为的。</w:t>
            </w:r>
          </w:p>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
              </w:rPr>
            </w:pPr>
          </w:p>
        </w:tc>
        <w:tc>
          <w:tcPr>
            <w:tcW w:w="3000" w:type="dxa"/>
          </w:tcPr>
          <w:p>
            <w:pPr>
              <w:keepNext w:val="0"/>
              <w:keepLines w:val="0"/>
              <w:widowControl/>
              <w:suppressLineNumbers w:val="0"/>
              <w:jc w:val="left"/>
              <w:textAlignment w:val="center"/>
              <w:rPr>
                <w:rFonts w:hint="eastAsia" w:ascii="宋体" w:hAnsi="宋体" w:eastAsia="宋体" w:cs="宋体"/>
                <w:i w:val="0"/>
                <w:color w:val="000000"/>
                <w:kern w:val="0"/>
                <w:sz w:val="24"/>
                <w:szCs w:val="24"/>
                <w:u w:val="none"/>
                <w:lang w:val="en-US" w:eastAsia="zh-CN" w:bidi="ar"/>
              </w:rPr>
            </w:pPr>
          </w:p>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
              </w:rPr>
            </w:pPr>
          </w:p>
          <w:p>
            <w:pPr>
              <w:keepNext w:val="0"/>
              <w:keepLines w:val="0"/>
              <w:widowControl/>
              <w:suppressLineNumbers w:val="0"/>
              <w:jc w:val="left"/>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《中华人民共和国行政处罚法》（1996年3月通过，2021年1月22日修订通过）第三十二条；</w:t>
            </w:r>
          </w:p>
          <w:p>
            <w:pPr>
              <w:keepNext w:val="0"/>
              <w:keepLines w:val="0"/>
              <w:widowControl/>
              <w:suppressLineNumbers w:val="0"/>
              <w:jc w:val="left"/>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《河南省优化营商环境条例》（2020年11月28日通过）第五十四条。</w:t>
            </w:r>
          </w:p>
        </w:tc>
        <w:tc>
          <w:tcPr>
            <w:tcW w:w="1950" w:type="dxa"/>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
              </w:rPr>
            </w:pPr>
          </w:p>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
              </w:rPr>
            </w:pPr>
          </w:p>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
              </w:rPr>
            </w:pPr>
          </w:p>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
              </w:rPr>
            </w:pPr>
          </w:p>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违法行为预警、行政指导、行政约谈、行政回访。</w:t>
            </w:r>
          </w:p>
        </w:tc>
      </w:tr>
    </w:tbl>
    <w:p>
      <w:pPr>
        <w:rPr>
          <w:rFonts w:hint="default" w:eastAsia="宋体"/>
          <w:lang w:val="en-US" w:eastAsia="zh-CN"/>
        </w:rPr>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AwNGJhNTlkZTU1NDllZTg5YTIwYjkyMWYxNDVlYjAifQ=="/>
  </w:docVars>
  <w:rsids>
    <w:rsidRoot w:val="00000000"/>
    <w:rsid w:val="03A95000"/>
    <w:rsid w:val="327E0DD0"/>
    <w:rsid w:val="3DB57A51"/>
    <w:rsid w:val="6CC15940"/>
    <w:rsid w:val="6E1A25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table" w:styleId="3">
    <w:name w:val="Table Grid"/>
    <w:basedOn w:val="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
    <w:name w:val="font41"/>
    <w:basedOn w:val="4"/>
    <w:qFormat/>
    <w:uiPriority w:val="0"/>
    <w:rPr>
      <w:rFonts w:hint="eastAsia" w:ascii="宋体" w:hAnsi="宋体" w:eastAsia="宋体" w:cs="宋体"/>
      <w:color w:val="000000"/>
      <w:sz w:val="28"/>
      <w:szCs w:val="28"/>
      <w:u w:val="non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654</Words>
  <Characters>680</Characters>
  <Lines>0</Lines>
  <Paragraphs>0</Paragraphs>
  <TotalTime>11</TotalTime>
  <ScaleCrop>false</ScaleCrop>
  <LinksUpToDate>false</LinksUpToDate>
  <CharactersWithSpaces>680</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2022-09-14T03:01:12Z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D7AC07AF2DFE455B8998854B658AA517</vt:lpwstr>
  </property>
</Properties>
</file>