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ordWrap/>
        <w:jc w:val="both"/>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附件1</w:t>
      </w:r>
    </w:p>
    <w:p>
      <w:pPr>
        <w:wordWrap/>
        <w:jc w:val="center"/>
        <w:rPr>
          <w:rFonts w:hint="eastAsia" w:ascii="宋体" w:hAnsi="宋体" w:eastAsia="宋体" w:cs="宋体"/>
          <w:sz w:val="44"/>
          <w:szCs w:val="44"/>
          <w:lang w:val="en-US" w:eastAsia="zh-CN"/>
        </w:rPr>
      </w:pPr>
      <w:r>
        <w:rPr>
          <w:rFonts w:hint="eastAsia" w:ascii="宋体" w:hAnsi="宋体" w:cs="宋体"/>
          <w:sz w:val="44"/>
          <w:szCs w:val="44"/>
          <w:lang w:val="en-US" w:eastAsia="zh-CN"/>
        </w:rPr>
        <w:t>封丘县</w:t>
      </w:r>
      <w:bookmarkStart w:id="0" w:name="_GoBack"/>
      <w:bookmarkEnd w:id="0"/>
      <w:r>
        <w:rPr>
          <w:rFonts w:hint="eastAsia" w:ascii="宋体" w:hAnsi="宋体" w:cs="宋体"/>
          <w:sz w:val="44"/>
          <w:szCs w:val="44"/>
          <w:lang w:val="en-US" w:eastAsia="zh-CN"/>
        </w:rPr>
        <w:t>商务</w:t>
      </w:r>
      <w:r>
        <w:rPr>
          <w:rFonts w:hint="eastAsia" w:ascii="宋体" w:hAnsi="宋体" w:eastAsia="宋体" w:cs="宋体"/>
          <w:sz w:val="44"/>
          <w:szCs w:val="44"/>
          <w:lang w:val="en-US" w:eastAsia="zh-CN"/>
        </w:rPr>
        <w:t>局从轻处罚事项清单</w:t>
      </w:r>
    </w:p>
    <w:p>
      <w:pPr>
        <w:pStyle w:val="2"/>
        <w:rPr>
          <w:rFonts w:hint="eastAsia" w:ascii="宋体" w:hAnsi="宋体" w:eastAsia="宋体" w:cs="宋体"/>
          <w:sz w:val="44"/>
          <w:szCs w:val="44"/>
          <w:lang w:val="en-US" w:eastAsia="zh-CN"/>
        </w:rPr>
      </w:pPr>
    </w:p>
    <w:tbl>
      <w:tblPr>
        <w:tblStyle w:val="6"/>
        <w:tblW w:w="1427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0"/>
        <w:gridCol w:w="2727"/>
        <w:gridCol w:w="2475"/>
        <w:gridCol w:w="6285"/>
        <w:gridCol w:w="19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0" w:type="dxa"/>
            <w:noWrap w:val="0"/>
            <w:vAlign w:val="top"/>
          </w:tcPr>
          <w:p>
            <w:pPr>
              <w:wordWrap/>
              <w:jc w:val="center"/>
              <w:rPr>
                <w:rFonts w:hint="eastAsia" w:ascii="仿宋_GB2312" w:hAnsi="仿宋_GB2312" w:eastAsia="仿宋_GB2312" w:cs="仿宋_GB2312"/>
                <w:sz w:val="24"/>
                <w:szCs w:val="24"/>
                <w:vertAlign w:val="baseline"/>
                <w:lang w:val="en-US" w:eastAsia="zh-CN"/>
              </w:rPr>
            </w:pPr>
            <w:r>
              <w:rPr>
                <w:rFonts w:hint="eastAsia" w:ascii="仿宋_GB2312" w:hAnsi="仿宋_GB2312" w:eastAsia="仿宋_GB2312" w:cs="仿宋_GB2312"/>
                <w:sz w:val="24"/>
                <w:szCs w:val="24"/>
                <w:vertAlign w:val="baseline"/>
                <w:lang w:val="en-US" w:eastAsia="zh-CN"/>
              </w:rPr>
              <w:t>序号</w:t>
            </w:r>
          </w:p>
        </w:tc>
        <w:tc>
          <w:tcPr>
            <w:tcW w:w="2727" w:type="dxa"/>
            <w:noWrap w:val="0"/>
            <w:vAlign w:val="top"/>
          </w:tcPr>
          <w:p>
            <w:pPr>
              <w:wordWrap/>
              <w:jc w:val="center"/>
              <w:rPr>
                <w:rFonts w:hint="eastAsia" w:ascii="仿宋_GB2312" w:hAnsi="仿宋_GB2312" w:eastAsia="仿宋_GB2312" w:cs="仿宋_GB2312"/>
                <w:sz w:val="24"/>
                <w:szCs w:val="24"/>
                <w:vertAlign w:val="baseline"/>
                <w:lang w:val="en-US" w:eastAsia="zh-CN"/>
              </w:rPr>
            </w:pPr>
            <w:r>
              <w:rPr>
                <w:rFonts w:hint="eastAsia" w:ascii="仿宋_GB2312" w:hAnsi="仿宋_GB2312" w:eastAsia="仿宋_GB2312" w:cs="仿宋_GB2312"/>
                <w:sz w:val="24"/>
                <w:szCs w:val="24"/>
                <w:vertAlign w:val="baseline"/>
                <w:lang w:val="en-US" w:eastAsia="zh-CN"/>
              </w:rPr>
              <w:t>处罚事项名称</w:t>
            </w:r>
          </w:p>
        </w:tc>
        <w:tc>
          <w:tcPr>
            <w:tcW w:w="2475" w:type="dxa"/>
            <w:noWrap w:val="0"/>
            <w:vAlign w:val="top"/>
          </w:tcPr>
          <w:p>
            <w:pPr>
              <w:wordWrap/>
              <w:jc w:val="center"/>
              <w:rPr>
                <w:rFonts w:hint="eastAsia" w:ascii="仿宋_GB2312" w:hAnsi="仿宋_GB2312" w:eastAsia="仿宋_GB2312" w:cs="仿宋_GB2312"/>
                <w:sz w:val="24"/>
                <w:szCs w:val="24"/>
                <w:vertAlign w:val="baseline"/>
                <w:lang w:val="en-US" w:eastAsia="zh-CN"/>
              </w:rPr>
            </w:pPr>
            <w:r>
              <w:rPr>
                <w:rFonts w:hint="eastAsia" w:ascii="仿宋_GB2312" w:hAnsi="仿宋_GB2312" w:eastAsia="仿宋_GB2312" w:cs="仿宋_GB2312"/>
                <w:sz w:val="24"/>
                <w:szCs w:val="24"/>
                <w:vertAlign w:val="baseline"/>
                <w:lang w:val="en-US" w:eastAsia="zh-CN"/>
              </w:rPr>
              <w:t>从轻处罚的情形</w:t>
            </w:r>
          </w:p>
        </w:tc>
        <w:tc>
          <w:tcPr>
            <w:tcW w:w="6285" w:type="dxa"/>
            <w:noWrap w:val="0"/>
            <w:vAlign w:val="top"/>
          </w:tcPr>
          <w:p>
            <w:pPr>
              <w:wordWrap/>
              <w:jc w:val="center"/>
              <w:rPr>
                <w:rFonts w:hint="eastAsia" w:ascii="仿宋_GB2312" w:hAnsi="仿宋_GB2312" w:eastAsia="仿宋_GB2312" w:cs="仿宋_GB2312"/>
                <w:sz w:val="24"/>
                <w:szCs w:val="24"/>
                <w:vertAlign w:val="baseline"/>
                <w:lang w:val="en-US" w:eastAsia="zh-CN"/>
              </w:rPr>
            </w:pPr>
            <w:r>
              <w:rPr>
                <w:rFonts w:hint="eastAsia" w:ascii="仿宋_GB2312" w:hAnsi="仿宋_GB2312" w:eastAsia="仿宋_GB2312" w:cs="仿宋_GB2312"/>
                <w:sz w:val="24"/>
                <w:szCs w:val="24"/>
                <w:vertAlign w:val="baseline"/>
                <w:lang w:val="en-US" w:eastAsia="zh-CN"/>
              </w:rPr>
              <w:t>从轻处罚的依据</w:t>
            </w:r>
          </w:p>
        </w:tc>
        <w:tc>
          <w:tcPr>
            <w:tcW w:w="1905" w:type="dxa"/>
            <w:noWrap w:val="0"/>
            <w:vAlign w:val="top"/>
          </w:tcPr>
          <w:p>
            <w:pPr>
              <w:wordWrap/>
              <w:jc w:val="center"/>
              <w:rPr>
                <w:rFonts w:hint="eastAsia" w:ascii="仿宋_GB2312" w:hAnsi="仿宋_GB2312" w:eastAsia="仿宋_GB2312" w:cs="仿宋_GB2312"/>
                <w:sz w:val="24"/>
                <w:szCs w:val="24"/>
                <w:vertAlign w:val="baseline"/>
                <w:lang w:val="en-US" w:eastAsia="zh-CN"/>
              </w:rPr>
            </w:pPr>
            <w:r>
              <w:rPr>
                <w:rFonts w:hint="eastAsia" w:ascii="仿宋_GB2312" w:hAnsi="仿宋_GB2312" w:eastAsia="仿宋_GB2312" w:cs="仿宋_GB2312"/>
                <w:sz w:val="24"/>
                <w:szCs w:val="24"/>
                <w:vertAlign w:val="baseline"/>
                <w:lang w:val="en-US" w:eastAsia="zh-CN"/>
              </w:rPr>
              <w:t>配套监管措施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0" w:hRule="atLeast"/>
        </w:trPr>
        <w:tc>
          <w:tcPr>
            <w:tcW w:w="880" w:type="dxa"/>
            <w:noWrap w:val="0"/>
            <w:vAlign w:val="center"/>
          </w:tcPr>
          <w:p>
            <w:pPr>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w:t>
            </w:r>
          </w:p>
        </w:tc>
        <w:tc>
          <w:tcPr>
            <w:tcW w:w="2727" w:type="dxa"/>
            <w:noWrap w:val="0"/>
            <w:vAlign w:val="top"/>
          </w:tcPr>
          <w:p>
            <w:pPr>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val="en-US" w:eastAsia="zh-CN"/>
              </w:rPr>
              <w:t>经销商未在经营场所以适当形式明示销售汽车、配件及其他相关产品的价格和各项服务收费标准，或在标价之外加价销售或收取额外费用的处罚</w:t>
            </w:r>
          </w:p>
          <w:p>
            <w:pPr>
              <w:rPr>
                <w:rFonts w:hint="eastAsia" w:ascii="仿宋_GB2312" w:hAnsi="仿宋_GB2312" w:eastAsia="仿宋_GB2312" w:cs="仿宋_GB2312"/>
                <w:sz w:val="24"/>
                <w:szCs w:val="24"/>
                <w:lang w:val="en-US" w:eastAsia="zh-CN"/>
              </w:rPr>
            </w:pPr>
          </w:p>
        </w:tc>
        <w:tc>
          <w:tcPr>
            <w:tcW w:w="2475" w:type="dxa"/>
            <w:noWrap w:val="0"/>
            <w:vAlign w:val="top"/>
          </w:tcPr>
          <w:p>
            <w:pP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违法行为使单个消费者承担额外费用不超过3000元，且涉及消费者不超过10人的。</w:t>
            </w:r>
          </w:p>
          <w:p>
            <w:pP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主动整改或在行政机关责令整改限期内改正，并签署承诺书。</w:t>
            </w:r>
          </w:p>
        </w:tc>
        <w:tc>
          <w:tcPr>
            <w:tcW w:w="6285" w:type="dxa"/>
            <w:noWrap w:val="0"/>
            <w:vAlign w:val="top"/>
          </w:tcPr>
          <w:p>
            <w:pPr>
              <w:keepNext w:val="0"/>
              <w:keepLines w:val="0"/>
              <w:widowControl/>
              <w:suppressLineNumbers w:val="0"/>
              <w:jc w:val="left"/>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i w:val="0"/>
                <w:caps w:val="0"/>
                <w:color w:val="333333"/>
                <w:spacing w:val="0"/>
                <w:kern w:val="0"/>
                <w:sz w:val="24"/>
                <w:szCs w:val="24"/>
                <w:shd w:val="clear" w:color="auto" w:fill="FFFFFF"/>
                <w:lang w:val="en-US" w:eastAsia="zh-CN" w:bidi="ar"/>
              </w:rPr>
              <w:t>《汽车销售管理办法》</w:t>
            </w:r>
            <w:r>
              <w:rPr>
                <w:rFonts w:hint="eastAsia" w:ascii="仿宋_GB2312" w:hAnsi="仿宋_GB2312" w:eastAsia="仿宋_GB2312" w:cs="仿宋_GB2312"/>
                <w:sz w:val="24"/>
                <w:szCs w:val="24"/>
                <w:lang w:val="en-US" w:eastAsia="zh-CN"/>
              </w:rPr>
              <w:t>第十条经销商应当在经营场所以适当形式明示销售</w:t>
            </w:r>
            <w:r>
              <w:rPr>
                <w:rFonts w:hint="default" w:ascii="仿宋_GB2312" w:hAnsi="仿宋_GB2312" w:eastAsia="仿宋_GB2312" w:cs="仿宋_GB2312"/>
                <w:sz w:val="24"/>
                <w:szCs w:val="24"/>
                <w:lang w:val="en" w:eastAsia="zh-CN"/>
              </w:rPr>
              <w:t>汽</w:t>
            </w:r>
            <w:r>
              <w:rPr>
                <w:rFonts w:hint="eastAsia" w:ascii="仿宋_GB2312" w:hAnsi="仿宋_GB2312" w:eastAsia="仿宋_GB2312" w:cs="仿宋_GB2312"/>
                <w:sz w:val="24"/>
                <w:szCs w:val="24"/>
                <w:lang w:val="en-US" w:eastAsia="zh-CN"/>
              </w:rPr>
              <w:t>车、配件及其他相关产品的价格和各项服务收费标准，不得在标价之外加价销售或收取额外费用。第三十二条违反本办法第十条、第十二条、第十四条、第十七条第一款、第二十一条、第二十三条第二款、第二十四条、第二十五条、第二十六条有关规定的，由县级以上地方商务主管部门责令改正，并可给予警告或3万元以下罚款。</w:t>
            </w:r>
          </w:p>
        </w:tc>
        <w:tc>
          <w:tcPr>
            <w:tcW w:w="1905" w:type="dxa"/>
            <w:noWrap w:val="0"/>
            <w:vAlign w:val="top"/>
          </w:tcPr>
          <w:p>
            <w:pPr>
              <w:pStyle w:val="2"/>
              <w:rPr>
                <w:rFonts w:hint="eastAsia"/>
                <w:sz w:val="24"/>
                <w:szCs w:val="24"/>
                <w:lang w:val="en-US" w:eastAsia="zh-CN"/>
              </w:rPr>
            </w:pPr>
            <w:r>
              <w:rPr>
                <w:rFonts w:hint="eastAsia" w:ascii="华文仿宋" w:hAnsi="华文仿宋" w:eastAsia="华文仿宋" w:cs="华文仿宋"/>
                <w:sz w:val="24"/>
                <w:szCs w:val="24"/>
                <w:lang w:val="en-US" w:eastAsia="zh-CN"/>
              </w:rPr>
              <w:t>行政约谈、行政回访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80" w:type="dxa"/>
            <w:noWrap w:val="0"/>
            <w:vAlign w:val="center"/>
          </w:tcPr>
          <w:p>
            <w:pPr>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2</w:t>
            </w:r>
          </w:p>
        </w:tc>
        <w:tc>
          <w:tcPr>
            <w:tcW w:w="2727" w:type="dxa"/>
            <w:noWrap w:val="0"/>
            <w:vAlign w:val="top"/>
          </w:tcPr>
          <w:p>
            <w:pPr>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val="en-US" w:eastAsia="zh-CN"/>
              </w:rPr>
              <w:t>对经销商出售未经供应商授权销售的汽车，或者未经境外汽车生产企业授权销售的进口汽车，未以书面形式向消费者作出提醒和说明，未书面告知向消费者承担相关责任的主体的处罚</w:t>
            </w:r>
          </w:p>
          <w:p>
            <w:pPr>
              <w:rPr>
                <w:rFonts w:hint="eastAsia" w:ascii="仿宋_GB2312" w:hAnsi="仿宋_GB2312" w:eastAsia="仿宋_GB2312" w:cs="仿宋_GB2312"/>
                <w:sz w:val="24"/>
                <w:szCs w:val="24"/>
                <w:lang w:val="en-US" w:eastAsia="zh-CN"/>
              </w:rPr>
            </w:pPr>
          </w:p>
        </w:tc>
        <w:tc>
          <w:tcPr>
            <w:tcW w:w="2475" w:type="dxa"/>
            <w:noWrap w:val="0"/>
            <w:vAlign w:val="top"/>
          </w:tcPr>
          <w:p>
            <w:pP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违法行为不超过5次，或消费者发生实际购买，金额不足50万元的。主动整改或在行政机关责令整改限期内改正，并签署承诺书。</w:t>
            </w:r>
          </w:p>
          <w:p>
            <w:pPr>
              <w:rPr>
                <w:rFonts w:hint="eastAsia" w:ascii="仿宋_GB2312" w:hAnsi="仿宋_GB2312" w:eastAsia="仿宋_GB2312" w:cs="仿宋_GB2312"/>
                <w:sz w:val="24"/>
                <w:szCs w:val="24"/>
                <w:lang w:val="en-US" w:eastAsia="zh-CN"/>
              </w:rPr>
            </w:pPr>
          </w:p>
          <w:p>
            <w:pPr>
              <w:rPr>
                <w:rFonts w:hint="eastAsia" w:ascii="仿宋_GB2312" w:hAnsi="仿宋_GB2312" w:eastAsia="仿宋_GB2312" w:cs="仿宋_GB2312"/>
                <w:sz w:val="24"/>
                <w:szCs w:val="24"/>
                <w:lang w:val="en-US" w:eastAsia="zh-CN"/>
              </w:rPr>
            </w:pPr>
          </w:p>
        </w:tc>
        <w:tc>
          <w:tcPr>
            <w:tcW w:w="6285" w:type="dxa"/>
            <w:noWrap w:val="0"/>
            <w:vAlign w:val="top"/>
          </w:tcPr>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《汽车销售管理办法》 第十二条经销商出售未经供应商授权销售的汽车，或者未经境外汽车生产企业授权销售的进口汽车，应当以书面形式向消费者作出提醒和说明，并书面告知向消费者承担相关责任的主体。未经供应商授权或者授权终止的，经销商不得以供应商授权销售汽车的名义从事经营活动。第三十二条违反本办法第十条、第十二条、第十四条、第十七条第一款、第二十一条、第二十三条第二款、第二十四条、第二十五条、第二十六条有关规定的，由县级以上地方商务主管部门责令改正，并可给予警告或3万元以下罚款。</w:t>
            </w:r>
          </w:p>
        </w:tc>
        <w:tc>
          <w:tcPr>
            <w:tcW w:w="1905" w:type="dxa"/>
            <w:noWrap w:val="0"/>
            <w:vAlign w:val="top"/>
          </w:tcPr>
          <w:p>
            <w:pPr>
              <w:pStyle w:val="2"/>
              <w:rPr>
                <w:rFonts w:hint="eastAsia" w:ascii="仿宋_GB2312" w:hAnsi="仿宋_GB2312" w:eastAsia="仿宋_GB2312" w:cs="仿宋_GB2312"/>
                <w:sz w:val="24"/>
                <w:szCs w:val="24"/>
                <w:lang w:val="en-US" w:eastAsia="zh-CN"/>
              </w:rPr>
            </w:pPr>
            <w:r>
              <w:rPr>
                <w:rFonts w:hint="eastAsia" w:ascii="华文仿宋" w:hAnsi="华文仿宋" w:eastAsia="华文仿宋" w:cs="华文仿宋"/>
                <w:sz w:val="24"/>
                <w:szCs w:val="24"/>
                <w:lang w:val="en-US" w:eastAsia="zh-CN"/>
              </w:rPr>
              <w:t>行政约谈、行政回访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85" w:hRule="atLeast"/>
        </w:trPr>
        <w:tc>
          <w:tcPr>
            <w:tcW w:w="880" w:type="dxa"/>
            <w:noWrap w:val="0"/>
            <w:vAlign w:val="center"/>
          </w:tcPr>
          <w:p>
            <w:pPr>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3</w:t>
            </w:r>
          </w:p>
        </w:tc>
        <w:tc>
          <w:tcPr>
            <w:tcW w:w="2727" w:type="dxa"/>
            <w:noWrap w:val="0"/>
            <w:vAlign w:val="top"/>
          </w:tcPr>
          <w:p>
            <w:pP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对供应商、经销商存在限定消费者户籍所在地，对消费者限定汽车配件、用品、金融、保险、救援等产品的提供商和售后服务商（家用汽车产品“三包”服务、召回等由供应商承担费用时使用的配件和服务除外）行为的处罚</w:t>
            </w:r>
          </w:p>
        </w:tc>
        <w:tc>
          <w:tcPr>
            <w:tcW w:w="2475" w:type="dxa"/>
            <w:noWrap w:val="0"/>
            <w:vAlign w:val="top"/>
          </w:tcPr>
          <w:p>
            <w:pP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违法行为使单个消费者承担额外费用不超过3000元，且涉及消费者不超过10人的。主动整改或在行政机关责令整改限期内改正，并签署承诺书。</w:t>
            </w:r>
          </w:p>
          <w:p>
            <w:pPr>
              <w:rPr>
                <w:rFonts w:hint="eastAsia" w:ascii="仿宋_GB2312" w:hAnsi="仿宋_GB2312" w:eastAsia="仿宋_GB2312" w:cs="仿宋_GB2312"/>
                <w:sz w:val="24"/>
                <w:szCs w:val="24"/>
                <w:lang w:val="en-US" w:eastAsia="zh-CN"/>
              </w:rPr>
            </w:pPr>
          </w:p>
          <w:p>
            <w:pPr>
              <w:rPr>
                <w:rFonts w:hint="eastAsia" w:ascii="仿宋_GB2312" w:hAnsi="仿宋_GB2312" w:eastAsia="仿宋_GB2312" w:cs="仿宋_GB2312"/>
                <w:sz w:val="24"/>
                <w:szCs w:val="24"/>
                <w:lang w:val="en-US" w:eastAsia="zh-CN"/>
              </w:rPr>
            </w:pPr>
          </w:p>
        </w:tc>
        <w:tc>
          <w:tcPr>
            <w:tcW w:w="6285" w:type="dxa"/>
            <w:noWrap w:val="0"/>
            <w:vAlign w:val="top"/>
          </w:tcPr>
          <w:p>
            <w:pP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汽车销售管理办法》第十四条供应商、经销商不得限定消费者户籍所在地，不得对消费者限定汽车配件、用品、金融、保险、救援等产品的提供商和售后服务商，但家用汽车产品“三包”服务、召回等由供应商承担费用时使用的配件和服务除外。经销商销售汽车时不得强制消费者购买保险或者强制为其提供代办车辆注册登记等服务。第三十二条 违反本办法第十条、第十二条、第十四条、第十七条第一款、第二十一条、第二十三条第二款、第二十四条、第二十五条、第二十六条有关规定的，由县级以上地方商务主管部门责令改正，并可给予警告或3万元以下罚款。 </w:t>
            </w:r>
          </w:p>
        </w:tc>
        <w:tc>
          <w:tcPr>
            <w:tcW w:w="1905" w:type="dxa"/>
            <w:noWrap w:val="0"/>
            <w:vAlign w:val="top"/>
          </w:tcPr>
          <w:p>
            <w:pPr>
              <w:pStyle w:val="2"/>
              <w:rPr>
                <w:rFonts w:hint="eastAsia" w:ascii="华文仿宋" w:hAnsi="华文仿宋" w:eastAsia="华文仿宋" w:cs="华文仿宋"/>
                <w:sz w:val="32"/>
                <w:szCs w:val="32"/>
                <w:lang w:val="en-US" w:eastAsia="zh-CN"/>
              </w:rPr>
            </w:pPr>
            <w:r>
              <w:rPr>
                <w:rFonts w:hint="eastAsia" w:ascii="华文仿宋" w:hAnsi="华文仿宋" w:eastAsia="华文仿宋" w:cs="华文仿宋"/>
                <w:sz w:val="24"/>
                <w:szCs w:val="24"/>
                <w:lang w:val="en-US" w:eastAsia="zh-CN"/>
              </w:rPr>
              <w:t>行政约谈、行政回访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0" w:type="dxa"/>
            <w:noWrap w:val="0"/>
            <w:vAlign w:val="center"/>
          </w:tcPr>
          <w:p>
            <w:pPr>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4</w:t>
            </w:r>
          </w:p>
        </w:tc>
        <w:tc>
          <w:tcPr>
            <w:tcW w:w="2727" w:type="dxa"/>
            <w:noWrap w:val="0"/>
            <w:vAlign w:val="center"/>
          </w:tcPr>
          <w:p>
            <w:pPr>
              <w:jc w:val="both"/>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val="en-US" w:eastAsia="zh-CN"/>
              </w:rPr>
              <w:t>对经销商、售后服务商销售或者提供配件未如实标明原厂配件、质量相当配件、再制造件、回用件等，未明示生产商（进口产品为进口商）、生产日期、适配车型等信息，向消费者销售或者提供原厂配件以外的其他配件时，未予以提醒和说明的处罚</w:t>
            </w:r>
          </w:p>
          <w:p>
            <w:pPr>
              <w:jc w:val="both"/>
              <w:rPr>
                <w:rFonts w:hint="eastAsia" w:ascii="仿宋_GB2312" w:hAnsi="仿宋_GB2312" w:eastAsia="仿宋_GB2312" w:cs="仿宋_GB2312"/>
                <w:sz w:val="24"/>
                <w:szCs w:val="24"/>
                <w:lang w:val="en-US" w:eastAsia="zh-CN"/>
              </w:rPr>
            </w:pPr>
          </w:p>
        </w:tc>
        <w:tc>
          <w:tcPr>
            <w:tcW w:w="2475" w:type="dxa"/>
            <w:noWrap w:val="0"/>
            <w:vAlign w:val="top"/>
          </w:tcPr>
          <w:p>
            <w:pP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违法行为不超过5次，或消费者发生实际购买，金额不足3万元的。主动整改或在行政机关责令整改限期内改正，并签署承诺书。</w:t>
            </w:r>
          </w:p>
          <w:p>
            <w:pPr>
              <w:rPr>
                <w:rFonts w:hint="eastAsia" w:ascii="仿宋_GB2312" w:hAnsi="仿宋_GB2312" w:eastAsia="仿宋_GB2312" w:cs="仿宋_GB2312"/>
                <w:sz w:val="24"/>
                <w:szCs w:val="24"/>
                <w:lang w:val="en-US" w:eastAsia="zh-CN"/>
              </w:rPr>
            </w:pPr>
          </w:p>
          <w:p>
            <w:pPr>
              <w:rPr>
                <w:rFonts w:hint="eastAsia" w:ascii="仿宋_GB2312" w:hAnsi="仿宋_GB2312" w:eastAsia="仿宋_GB2312" w:cs="仿宋_GB2312"/>
                <w:sz w:val="24"/>
                <w:szCs w:val="24"/>
                <w:lang w:val="en-US" w:eastAsia="zh-CN"/>
              </w:rPr>
            </w:pPr>
          </w:p>
        </w:tc>
        <w:tc>
          <w:tcPr>
            <w:tcW w:w="6285" w:type="dxa"/>
            <w:noWrap w:val="0"/>
            <w:vAlign w:val="top"/>
          </w:tcPr>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 </w:t>
            </w:r>
            <w:r>
              <w:rPr>
                <w:rFonts w:hint="eastAsia" w:ascii="仿宋_GB2312" w:hAnsi="仿宋_GB2312" w:eastAsia="仿宋_GB2312" w:cs="仿宋_GB2312"/>
                <w:i w:val="0"/>
                <w:caps w:val="0"/>
                <w:color w:val="333333"/>
                <w:spacing w:val="0"/>
                <w:kern w:val="0"/>
                <w:sz w:val="24"/>
                <w:szCs w:val="24"/>
                <w:shd w:val="clear" w:color="auto" w:fill="FFFFFF"/>
                <w:lang w:val="en-US" w:eastAsia="zh-CN" w:bidi="ar"/>
              </w:rPr>
              <w:t>《汽车销售管理办法》</w:t>
            </w:r>
            <w:r>
              <w:rPr>
                <w:rFonts w:hint="eastAsia" w:ascii="仿宋_GB2312" w:hAnsi="仿宋_GB2312" w:eastAsia="仿宋_GB2312" w:cs="仿宋_GB2312"/>
                <w:sz w:val="24"/>
                <w:szCs w:val="24"/>
                <w:lang w:val="en-US" w:eastAsia="zh-CN"/>
              </w:rPr>
              <w:t xml:space="preserve">第十七条经销商、售后服务商销售或者提供配件应当如实标明原厂配件、质量相当配件、再制造件、回用件等，明示生产商（进口产品为进口商）、生产日期、适配车型等信息，向消费者销售或者提供原厂配件以外的其他配件时，应当予以提醒和说明。列入国家强制性产品认证目录的配件，应当取得国家强制性产品认证并加施认证标志后方可销售或者在售后服务经营活动中使用，依据国家有关规定允许办理免于国家强制性产品认证的除外。本办法所称原厂配件，是指汽车生产商提供或认可的，使用汽车生产商品牌或其认可品牌，按照车辆组装零部件规格和产品标准制造的零部件。本办法所称质量相当配件，是指未经汽车生产商认可的，由配件生产商生产的，且性能和质量达到原厂配件相关技术标准要求的零部件。 本办法所称再制造件，是指旧汽车零部件经过再制造技术、工艺生产后，性能和质量达到原型新品要求的零部件。 本办法所称回用件，是指从报废汽车上拆解或维修车辆上替换的能够继续使用的零部件。第三十二条违反本办法第十条、第十二条、第十四条、第十七条第一款、第二十一条、第二十三条第二款、第二十四条、第二十五条、第二十六条有关规定的，由县级以上地方商务主管部门责令改正，并可给予警告或3万元以下罚款。 </w:t>
            </w:r>
          </w:p>
        </w:tc>
        <w:tc>
          <w:tcPr>
            <w:tcW w:w="1905" w:type="dxa"/>
            <w:noWrap w:val="0"/>
            <w:vAlign w:val="top"/>
          </w:tcPr>
          <w:p>
            <w:pPr>
              <w:pStyle w:val="2"/>
              <w:rPr>
                <w:rFonts w:hint="eastAsia" w:ascii="华文仿宋" w:hAnsi="华文仿宋" w:eastAsia="华文仿宋" w:cs="华文仿宋"/>
                <w:sz w:val="32"/>
                <w:szCs w:val="32"/>
                <w:lang w:val="en-US" w:eastAsia="zh-CN"/>
              </w:rPr>
            </w:pPr>
            <w:r>
              <w:rPr>
                <w:rFonts w:hint="eastAsia" w:ascii="华文仿宋" w:hAnsi="华文仿宋" w:eastAsia="华文仿宋" w:cs="华文仿宋"/>
                <w:sz w:val="24"/>
                <w:szCs w:val="24"/>
                <w:lang w:val="en-US" w:eastAsia="zh-CN"/>
              </w:rPr>
              <w:t>行政约谈、行政回访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0" w:type="dxa"/>
            <w:noWrap w:val="0"/>
            <w:vAlign w:val="center"/>
          </w:tcPr>
          <w:p>
            <w:pPr>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5</w:t>
            </w:r>
          </w:p>
        </w:tc>
        <w:tc>
          <w:tcPr>
            <w:tcW w:w="2727" w:type="dxa"/>
            <w:noWrap w:val="0"/>
            <w:vAlign w:val="top"/>
          </w:tcPr>
          <w:p>
            <w:pPr>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val="en-US" w:eastAsia="zh-CN"/>
              </w:rPr>
              <w:t>对供应商限制配件生产商（进口产品为进口商）的销售对象，限制经销商、售后服务商转售配件（有关法律法规规章及其配套的规范性文件另有规定的除外）的处罚</w:t>
            </w:r>
          </w:p>
          <w:p>
            <w:pPr>
              <w:rPr>
                <w:rFonts w:hint="eastAsia" w:ascii="仿宋_GB2312" w:hAnsi="仿宋_GB2312" w:eastAsia="仿宋_GB2312" w:cs="仿宋_GB2312"/>
                <w:sz w:val="24"/>
                <w:szCs w:val="24"/>
                <w:lang w:val="en-US" w:eastAsia="zh-CN"/>
              </w:rPr>
            </w:pPr>
          </w:p>
        </w:tc>
        <w:tc>
          <w:tcPr>
            <w:tcW w:w="2475" w:type="dxa"/>
            <w:noWrap w:val="0"/>
            <w:vAlign w:val="top"/>
          </w:tcPr>
          <w:p>
            <w:pP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违法行为不超过5次，或使得消费者、经销商发生实际费用金额10万以内的。主动整改或在行政机关责令整改限期内改正，并签署承诺书。</w:t>
            </w:r>
          </w:p>
          <w:p>
            <w:pPr>
              <w:rPr>
                <w:rFonts w:hint="eastAsia" w:ascii="仿宋_GB2312" w:hAnsi="仿宋_GB2312" w:eastAsia="仿宋_GB2312" w:cs="仿宋_GB2312"/>
                <w:sz w:val="24"/>
                <w:szCs w:val="24"/>
                <w:lang w:val="en-US" w:eastAsia="zh-CN"/>
              </w:rPr>
            </w:pPr>
          </w:p>
        </w:tc>
        <w:tc>
          <w:tcPr>
            <w:tcW w:w="6285" w:type="dxa"/>
            <w:noWrap w:val="0"/>
            <w:vAlign w:val="center"/>
          </w:tcPr>
          <w:p>
            <w:pPr>
              <w:jc w:val="both"/>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i w:val="0"/>
                <w:caps w:val="0"/>
                <w:color w:val="333333"/>
                <w:spacing w:val="0"/>
                <w:kern w:val="0"/>
                <w:sz w:val="24"/>
                <w:szCs w:val="24"/>
                <w:shd w:val="clear" w:color="auto" w:fill="FFFFFF"/>
                <w:lang w:val="en-US" w:eastAsia="zh-CN" w:bidi="ar"/>
              </w:rPr>
              <w:t>《汽车销售管理办法》</w:t>
            </w:r>
            <w:r>
              <w:rPr>
                <w:rFonts w:hint="eastAsia" w:ascii="仿宋_GB2312" w:hAnsi="仿宋_GB2312" w:eastAsia="仿宋_GB2312" w:cs="仿宋_GB2312"/>
                <w:sz w:val="24"/>
                <w:szCs w:val="24"/>
                <w:lang w:val="en-US" w:eastAsia="zh-CN"/>
              </w:rPr>
              <w:t>第二十一条供应商不得限制配件生产商（进口产品为进口商）的销售对象，不得限制经销商、售后服务商转售配件，有关法律法规规章及其配套的规范性文件另有规定的除外。供应商应当及时向社会公布停产或者停止销售的车型，并保证其后至少10年的配件供应以及相应的售后服务。第三十二条违反本办法第十条、第十二条、第十四条、第十七条第一款、第二十一条、第二十三条第二款、第二十四条、第二十五条、第二十六条有关规定的，由县级以上地方商务主管部门责令改正，并可给予警告或3万元以下罚款。</w:t>
            </w:r>
          </w:p>
        </w:tc>
        <w:tc>
          <w:tcPr>
            <w:tcW w:w="1905" w:type="dxa"/>
            <w:noWrap w:val="0"/>
            <w:vAlign w:val="top"/>
          </w:tcPr>
          <w:p>
            <w:pPr>
              <w:pStyle w:val="2"/>
              <w:rPr>
                <w:rFonts w:hint="eastAsia" w:ascii="华文仿宋" w:hAnsi="华文仿宋" w:eastAsia="华文仿宋" w:cs="华文仿宋"/>
                <w:sz w:val="32"/>
                <w:szCs w:val="32"/>
                <w:lang w:val="en-US" w:eastAsia="zh-CN"/>
              </w:rPr>
            </w:pPr>
            <w:r>
              <w:rPr>
                <w:rFonts w:hint="eastAsia" w:ascii="华文仿宋" w:hAnsi="华文仿宋" w:eastAsia="华文仿宋" w:cs="华文仿宋"/>
                <w:sz w:val="24"/>
                <w:szCs w:val="24"/>
                <w:lang w:val="en-US" w:eastAsia="zh-CN"/>
              </w:rPr>
              <w:t>行政约谈、行政回访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0" w:type="dxa"/>
            <w:noWrap w:val="0"/>
            <w:vAlign w:val="center"/>
          </w:tcPr>
          <w:p>
            <w:pPr>
              <w:jc w:val="center"/>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6</w:t>
            </w:r>
          </w:p>
        </w:tc>
        <w:tc>
          <w:tcPr>
            <w:tcW w:w="2727" w:type="dxa"/>
            <w:noWrap w:val="0"/>
            <w:vAlign w:val="top"/>
          </w:tcPr>
          <w:p>
            <w:pP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对经销商不再经营供应商产品的，未将客户、车辆资料和维修历史记录在授权合同终止后30日内移交给供应商，实施有损于供应商品牌形象的行为；家用汽车产品经销商不再经营供应商产品时，未及时通知消费者，在供应商的配合下变更承担“三包”责任的经销商。供应商、承担“三包”责任的经销商未保证为消费者继续提供相应的售后服务的处罚</w:t>
            </w:r>
          </w:p>
        </w:tc>
        <w:tc>
          <w:tcPr>
            <w:tcW w:w="2475" w:type="dxa"/>
            <w:noWrap w:val="0"/>
            <w:vAlign w:val="top"/>
          </w:tcPr>
          <w:p>
            <w:pP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有违法情形，对消费者权益损害1万元以内或供应商权益损害5万元以内的，主动整改或在行政机关责令整改限期内改正，并签署承诺书。</w:t>
            </w:r>
          </w:p>
          <w:p>
            <w:pPr>
              <w:rPr>
                <w:rFonts w:hint="eastAsia" w:ascii="仿宋_GB2312" w:hAnsi="仿宋_GB2312" w:eastAsia="仿宋_GB2312" w:cs="仿宋_GB2312"/>
                <w:sz w:val="24"/>
                <w:szCs w:val="24"/>
                <w:lang w:val="en-US" w:eastAsia="zh-CN"/>
              </w:rPr>
            </w:pPr>
          </w:p>
        </w:tc>
        <w:tc>
          <w:tcPr>
            <w:tcW w:w="6285" w:type="dxa"/>
            <w:noWrap w:val="0"/>
            <w:vAlign w:val="top"/>
          </w:tcPr>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 </w:t>
            </w:r>
            <w:r>
              <w:rPr>
                <w:rFonts w:hint="eastAsia" w:ascii="仿宋_GB2312" w:hAnsi="仿宋_GB2312" w:eastAsia="仿宋_GB2312" w:cs="仿宋_GB2312"/>
                <w:i w:val="0"/>
                <w:caps w:val="0"/>
                <w:color w:val="333333"/>
                <w:spacing w:val="0"/>
                <w:kern w:val="0"/>
                <w:sz w:val="24"/>
                <w:szCs w:val="24"/>
                <w:shd w:val="clear" w:color="auto" w:fill="FFFFFF"/>
                <w:lang w:val="en-US" w:eastAsia="zh-CN" w:bidi="ar"/>
              </w:rPr>
              <w:t>《汽车销售管理办法》</w:t>
            </w:r>
            <w:r>
              <w:rPr>
                <w:rFonts w:hint="eastAsia" w:ascii="仿宋_GB2312" w:hAnsi="仿宋_GB2312" w:eastAsia="仿宋_GB2312" w:cs="仿宋_GB2312"/>
                <w:sz w:val="24"/>
                <w:szCs w:val="24"/>
                <w:lang w:val="en-US" w:eastAsia="zh-CN"/>
              </w:rPr>
              <w:t xml:space="preserve">第二十三条供应商发生变更时，应当妥善处理相关事宜，确保经销商和消费者的合法权益。经销商不再经营供应商产品的，应当将客户、车辆资料和维修历史记录在授权合同终止后30日内移交给供应商，不得实施有损于供应商品牌形象的行为；家用汽车产品经销商不再经营供应商产品时，应当及时通知消费者，在供应商的配合下变更承担“三包”责任的经销商。供应商、承担“三包”责任的经销商应当保证为消费者继续提供相应的售后服务。第三十二条违反本办法第十条、第十二条、第十四条、第十七条第一款、第二十一条、第二十三条第二款、第二十四条、第二十五条、第二十六条有关规定的，由县级以上地方商务主管部门责令改正，并可给予警告或3万元以下罚款。 </w:t>
            </w:r>
          </w:p>
        </w:tc>
        <w:tc>
          <w:tcPr>
            <w:tcW w:w="1905" w:type="dxa"/>
            <w:noWrap w:val="0"/>
            <w:vAlign w:val="top"/>
          </w:tcPr>
          <w:p>
            <w:pPr>
              <w:pStyle w:val="2"/>
              <w:rPr>
                <w:rFonts w:hint="eastAsia" w:ascii="华文仿宋" w:hAnsi="华文仿宋" w:eastAsia="华文仿宋" w:cs="华文仿宋"/>
                <w:sz w:val="32"/>
                <w:szCs w:val="32"/>
                <w:lang w:val="en-US" w:eastAsia="zh-CN"/>
              </w:rPr>
            </w:pPr>
            <w:r>
              <w:rPr>
                <w:rFonts w:hint="eastAsia" w:ascii="华文仿宋" w:hAnsi="华文仿宋" w:eastAsia="华文仿宋" w:cs="华文仿宋"/>
                <w:sz w:val="24"/>
                <w:szCs w:val="24"/>
                <w:lang w:val="en-US" w:eastAsia="zh-CN"/>
              </w:rPr>
              <w:t>行政约谈、行政回访</w:t>
            </w:r>
          </w:p>
        </w:tc>
      </w:tr>
    </w:tbl>
    <w:p>
      <w:pPr>
        <w:wordWrap/>
        <w:ind w:firstLine="480" w:firstLineChars="200"/>
        <w:jc w:val="left"/>
      </w:pPr>
      <w:r>
        <w:rPr>
          <w:rFonts w:hint="eastAsia" w:ascii="华文仿宋" w:hAnsi="华文仿宋" w:eastAsia="华文仿宋" w:cs="华文仿宋"/>
          <w:sz w:val="24"/>
          <w:szCs w:val="24"/>
          <w:lang w:val="en-US" w:eastAsia="zh-CN"/>
        </w:rPr>
        <w:t>说明：配套监管措施主要是指法律风险防控预先提示、违法行为预警、说服教育、行政建议、行政指导、行政约谈、行政回访等柔性执法方式。</w:t>
      </w:r>
    </w:p>
    <w:p>
      <w:pPr>
        <w:rPr>
          <w:rFonts w:hint="eastAsia" w:ascii="仿宋_GB2312" w:hAnsi="仿宋_GB2312" w:eastAsia="仿宋_GB2312" w:cs="仿宋_GB2312"/>
          <w:sz w:val="24"/>
          <w:szCs w:val="24"/>
        </w:rPr>
      </w:pPr>
    </w:p>
    <w:p>
      <w:pPr>
        <w:rPr>
          <w:rFonts w:hint="eastAsia" w:ascii="仿宋_GB2312" w:hAnsi="仿宋_GB2312" w:eastAsia="仿宋_GB2312" w:cs="仿宋_GB2312"/>
          <w:sz w:val="24"/>
          <w:szCs w:val="24"/>
        </w:rPr>
      </w:pPr>
    </w:p>
    <w:p>
      <w:pPr>
        <w:rPr>
          <w:rFonts w:hint="eastAsia" w:ascii="仿宋_GB2312" w:hAnsi="仿宋_GB2312" w:eastAsia="仿宋_GB2312" w:cs="仿宋_GB2312"/>
          <w:sz w:val="24"/>
          <w:szCs w:val="24"/>
        </w:rPr>
      </w:pPr>
    </w:p>
    <w:p>
      <w:pPr>
        <w:rPr>
          <w:rFonts w:hint="eastAsia" w:ascii="仿宋_GB2312" w:hAnsi="仿宋_GB2312" w:eastAsia="仿宋_GB2312" w:cs="仿宋_GB2312"/>
          <w:sz w:val="24"/>
          <w:szCs w:val="24"/>
        </w:rPr>
      </w:pPr>
    </w:p>
    <w:p>
      <w:pPr>
        <w:rPr>
          <w:rFonts w:hint="eastAsia" w:ascii="仿宋_GB2312" w:hAnsi="仿宋_GB2312" w:eastAsia="仿宋_GB2312" w:cs="仿宋_GB2312"/>
          <w:sz w:val="24"/>
          <w:szCs w:val="24"/>
        </w:rPr>
      </w:pPr>
    </w:p>
    <w:p>
      <w:pPr>
        <w:rPr>
          <w:rFonts w:hint="eastAsia" w:ascii="仿宋_GB2312" w:hAnsi="仿宋_GB2312" w:eastAsia="仿宋_GB2312" w:cs="仿宋_GB2312"/>
          <w:sz w:val="24"/>
          <w:szCs w:val="24"/>
        </w:rPr>
      </w:pPr>
    </w:p>
    <w:p>
      <w:pPr>
        <w:rPr>
          <w:rFonts w:hint="eastAsia" w:ascii="仿宋_GB2312" w:hAnsi="仿宋_GB2312" w:eastAsia="仿宋_GB2312" w:cs="仿宋_GB2312"/>
          <w:sz w:val="24"/>
          <w:szCs w:val="24"/>
        </w:rPr>
      </w:pPr>
    </w:p>
    <w:p>
      <w:pPr>
        <w:rPr>
          <w:rFonts w:hint="eastAsia" w:ascii="仿宋_GB2312" w:hAnsi="仿宋_GB2312" w:eastAsia="仿宋_GB2312" w:cs="仿宋_GB2312"/>
          <w:sz w:val="24"/>
          <w:szCs w:val="24"/>
        </w:rPr>
      </w:pPr>
    </w:p>
    <w:p>
      <w:pPr>
        <w:rPr>
          <w:rFonts w:hint="eastAsia" w:ascii="仿宋_GB2312" w:hAnsi="仿宋_GB2312" w:eastAsia="仿宋_GB2312" w:cs="仿宋_GB2312"/>
          <w:sz w:val="24"/>
          <w:szCs w:val="24"/>
        </w:rPr>
      </w:pPr>
    </w:p>
    <w:p>
      <w:pPr>
        <w:rPr>
          <w:rFonts w:hint="eastAsia" w:ascii="仿宋_GB2312" w:hAnsi="仿宋_GB2312" w:eastAsia="仿宋_GB2312" w:cs="仿宋_GB2312"/>
          <w:sz w:val="24"/>
          <w:szCs w:val="24"/>
        </w:rPr>
      </w:pPr>
    </w:p>
    <w:p>
      <w:pPr>
        <w:rPr>
          <w:rFonts w:hint="eastAsia" w:ascii="仿宋_GB2312" w:hAnsi="仿宋_GB2312" w:eastAsia="仿宋_GB2312" w:cs="仿宋_GB2312"/>
          <w:sz w:val="24"/>
          <w:szCs w:val="24"/>
        </w:rPr>
      </w:pPr>
    </w:p>
    <w:p>
      <w:pPr>
        <w:rPr>
          <w:rFonts w:hint="eastAsia" w:ascii="仿宋_GB2312" w:hAnsi="仿宋_GB2312" w:eastAsia="仿宋_GB2312" w:cs="仿宋_GB2312"/>
          <w:sz w:val="24"/>
          <w:szCs w:val="24"/>
        </w:rPr>
      </w:pPr>
    </w:p>
    <w:p>
      <w:pPr>
        <w:rPr>
          <w:rFonts w:hint="eastAsia" w:ascii="仿宋_GB2312" w:hAnsi="仿宋_GB2312" w:eastAsia="仿宋_GB2312" w:cs="仿宋_GB2312"/>
          <w:sz w:val="24"/>
          <w:szCs w:val="24"/>
        </w:rPr>
      </w:pPr>
    </w:p>
    <w:p>
      <w:pPr>
        <w:rPr>
          <w:rFonts w:hint="eastAsia" w:ascii="仿宋_GB2312" w:hAnsi="仿宋_GB2312" w:eastAsia="仿宋_GB2312" w:cs="仿宋_GB2312"/>
          <w:sz w:val="24"/>
          <w:szCs w:val="24"/>
        </w:rPr>
      </w:pPr>
    </w:p>
    <w:p>
      <w:pPr>
        <w:wordWrap/>
        <w:jc w:val="both"/>
        <w:rPr>
          <w:rFonts w:hint="eastAsia" w:ascii="黑体" w:hAnsi="黑体" w:eastAsia="黑体" w:cs="黑体"/>
          <w:sz w:val="32"/>
          <w:szCs w:val="32"/>
          <w:lang w:val="en-US" w:eastAsia="zh-CN"/>
        </w:rPr>
      </w:pPr>
      <w:r>
        <w:rPr>
          <w:rFonts w:hint="eastAsia" w:ascii="黑体" w:hAnsi="黑体" w:eastAsia="黑体" w:cs="黑体"/>
          <w:sz w:val="32"/>
          <w:szCs w:val="32"/>
          <w:lang w:val="en" w:eastAsia="zh-CN"/>
        </w:rPr>
        <w:t>附件</w:t>
      </w:r>
      <w:r>
        <w:rPr>
          <w:rFonts w:hint="eastAsia" w:ascii="黑体" w:hAnsi="黑体" w:eastAsia="黑体" w:cs="黑体"/>
          <w:sz w:val="32"/>
          <w:szCs w:val="32"/>
          <w:lang w:val="en-US" w:eastAsia="zh-CN"/>
        </w:rPr>
        <w:t>2</w:t>
      </w:r>
    </w:p>
    <w:p>
      <w:pPr>
        <w:wordWrap/>
        <w:jc w:val="center"/>
        <w:rPr>
          <w:rFonts w:hint="eastAsia" w:ascii="宋体" w:hAnsi="宋体" w:eastAsia="宋体" w:cs="宋体"/>
          <w:sz w:val="44"/>
          <w:szCs w:val="44"/>
          <w:lang w:val="en-US" w:eastAsia="zh-CN"/>
        </w:rPr>
      </w:pPr>
      <w:r>
        <w:rPr>
          <w:rFonts w:hint="eastAsia" w:ascii="宋体" w:hAnsi="宋体" w:cs="宋体"/>
          <w:sz w:val="44"/>
          <w:szCs w:val="44"/>
          <w:lang w:val="en-US" w:eastAsia="zh-CN"/>
        </w:rPr>
        <w:t>封丘县商务</w:t>
      </w:r>
      <w:r>
        <w:rPr>
          <w:rFonts w:hint="eastAsia" w:ascii="宋体" w:hAnsi="宋体" w:eastAsia="宋体" w:cs="宋体"/>
          <w:sz w:val="44"/>
          <w:szCs w:val="44"/>
          <w:lang w:val="en-US" w:eastAsia="zh-CN"/>
        </w:rPr>
        <w:t>局减轻处罚事项清单</w:t>
      </w:r>
    </w:p>
    <w:p>
      <w:pPr>
        <w:pStyle w:val="2"/>
        <w:rPr>
          <w:rFonts w:hint="eastAsia"/>
          <w:lang w:val="en-US" w:eastAsia="zh-CN"/>
        </w:rPr>
      </w:pPr>
    </w:p>
    <w:tbl>
      <w:tblPr>
        <w:tblStyle w:val="6"/>
        <w:tblW w:w="1424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38"/>
        <w:gridCol w:w="2584"/>
        <w:gridCol w:w="2475"/>
        <w:gridCol w:w="6630"/>
        <w:gridCol w:w="18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noWrap w:val="0"/>
            <w:vAlign w:val="center"/>
          </w:tcPr>
          <w:p>
            <w:pPr>
              <w:wordWrap/>
              <w:jc w:val="center"/>
              <w:rPr>
                <w:rFonts w:hint="eastAsia" w:ascii="仿宋_GB2312" w:hAnsi="仿宋_GB2312" w:eastAsia="仿宋_GB2312" w:cs="仿宋_GB2312"/>
                <w:sz w:val="24"/>
                <w:szCs w:val="24"/>
                <w:vertAlign w:val="baseline"/>
                <w:lang w:val="en-US" w:eastAsia="zh-CN"/>
              </w:rPr>
            </w:pPr>
            <w:r>
              <w:rPr>
                <w:rFonts w:hint="eastAsia" w:ascii="仿宋_GB2312" w:hAnsi="仿宋_GB2312" w:eastAsia="仿宋_GB2312" w:cs="仿宋_GB2312"/>
                <w:sz w:val="24"/>
                <w:szCs w:val="24"/>
                <w:vertAlign w:val="baseline"/>
                <w:lang w:val="en-US" w:eastAsia="zh-CN"/>
              </w:rPr>
              <w:t>序号</w:t>
            </w:r>
          </w:p>
        </w:tc>
        <w:tc>
          <w:tcPr>
            <w:tcW w:w="2584" w:type="dxa"/>
            <w:noWrap w:val="0"/>
            <w:vAlign w:val="top"/>
          </w:tcPr>
          <w:p>
            <w:pPr>
              <w:wordWrap/>
              <w:jc w:val="center"/>
              <w:rPr>
                <w:rFonts w:hint="eastAsia" w:ascii="仿宋_GB2312" w:hAnsi="仿宋_GB2312" w:eastAsia="仿宋_GB2312" w:cs="仿宋_GB2312"/>
                <w:sz w:val="24"/>
                <w:szCs w:val="24"/>
                <w:vertAlign w:val="baseline"/>
                <w:lang w:val="en-US" w:eastAsia="zh-CN"/>
              </w:rPr>
            </w:pPr>
            <w:r>
              <w:rPr>
                <w:rFonts w:hint="eastAsia" w:ascii="仿宋_GB2312" w:hAnsi="仿宋_GB2312" w:eastAsia="仿宋_GB2312" w:cs="仿宋_GB2312"/>
                <w:sz w:val="24"/>
                <w:szCs w:val="24"/>
                <w:vertAlign w:val="baseline"/>
                <w:lang w:val="en-US" w:eastAsia="zh-CN"/>
              </w:rPr>
              <w:t>处罚事项名称</w:t>
            </w:r>
          </w:p>
        </w:tc>
        <w:tc>
          <w:tcPr>
            <w:tcW w:w="2475" w:type="dxa"/>
            <w:noWrap w:val="0"/>
            <w:vAlign w:val="top"/>
          </w:tcPr>
          <w:p>
            <w:pPr>
              <w:wordWrap/>
              <w:jc w:val="center"/>
              <w:rPr>
                <w:rFonts w:hint="eastAsia" w:ascii="仿宋_GB2312" w:hAnsi="仿宋_GB2312" w:eastAsia="仿宋_GB2312" w:cs="仿宋_GB2312"/>
                <w:sz w:val="24"/>
                <w:szCs w:val="24"/>
                <w:vertAlign w:val="baseline"/>
                <w:lang w:val="en-US" w:eastAsia="zh-CN"/>
              </w:rPr>
            </w:pPr>
            <w:r>
              <w:rPr>
                <w:rFonts w:hint="eastAsia" w:ascii="仿宋_GB2312" w:hAnsi="仿宋_GB2312" w:eastAsia="仿宋_GB2312" w:cs="仿宋_GB2312"/>
                <w:sz w:val="24"/>
                <w:szCs w:val="24"/>
                <w:vertAlign w:val="baseline"/>
                <w:lang w:val="en-US" w:eastAsia="zh-CN"/>
              </w:rPr>
              <w:t>减轻处罚的情形</w:t>
            </w:r>
          </w:p>
        </w:tc>
        <w:tc>
          <w:tcPr>
            <w:tcW w:w="6630" w:type="dxa"/>
            <w:noWrap w:val="0"/>
            <w:vAlign w:val="top"/>
          </w:tcPr>
          <w:p>
            <w:pPr>
              <w:wordWrap/>
              <w:jc w:val="center"/>
              <w:rPr>
                <w:rFonts w:hint="eastAsia" w:ascii="仿宋_GB2312" w:hAnsi="仿宋_GB2312" w:eastAsia="仿宋_GB2312" w:cs="仿宋_GB2312"/>
                <w:sz w:val="24"/>
                <w:szCs w:val="24"/>
                <w:vertAlign w:val="baseline"/>
                <w:lang w:val="en-US" w:eastAsia="zh-CN"/>
              </w:rPr>
            </w:pPr>
            <w:r>
              <w:rPr>
                <w:rFonts w:hint="eastAsia" w:ascii="仿宋_GB2312" w:hAnsi="仿宋_GB2312" w:eastAsia="仿宋_GB2312" w:cs="仿宋_GB2312"/>
                <w:sz w:val="24"/>
                <w:szCs w:val="24"/>
                <w:vertAlign w:val="baseline"/>
                <w:lang w:val="en-US" w:eastAsia="zh-CN"/>
              </w:rPr>
              <w:t>减轻处罚的依据</w:t>
            </w:r>
          </w:p>
        </w:tc>
        <w:tc>
          <w:tcPr>
            <w:tcW w:w="1815" w:type="dxa"/>
            <w:noWrap w:val="0"/>
            <w:vAlign w:val="top"/>
          </w:tcPr>
          <w:p>
            <w:pPr>
              <w:wordWrap/>
              <w:jc w:val="center"/>
              <w:rPr>
                <w:rFonts w:hint="eastAsia" w:ascii="仿宋_GB2312" w:hAnsi="仿宋_GB2312" w:eastAsia="仿宋_GB2312" w:cs="仿宋_GB2312"/>
                <w:sz w:val="24"/>
                <w:szCs w:val="24"/>
                <w:vertAlign w:val="baseline"/>
                <w:lang w:val="en-US" w:eastAsia="zh-CN"/>
              </w:rPr>
            </w:pPr>
            <w:r>
              <w:rPr>
                <w:rFonts w:hint="eastAsia" w:ascii="仿宋_GB2312" w:hAnsi="仿宋_GB2312" w:eastAsia="仿宋_GB2312" w:cs="仿宋_GB2312"/>
                <w:sz w:val="24"/>
                <w:szCs w:val="24"/>
                <w:vertAlign w:val="baseline"/>
                <w:lang w:val="en-US" w:eastAsia="zh-CN"/>
              </w:rPr>
              <w:t>配套监管措施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738" w:type="dxa"/>
            <w:noWrap w:val="0"/>
            <w:vAlign w:val="center"/>
          </w:tcPr>
          <w:p>
            <w:pPr>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w:t>
            </w:r>
          </w:p>
        </w:tc>
        <w:tc>
          <w:tcPr>
            <w:tcW w:w="2584" w:type="dxa"/>
            <w:noWrap w:val="0"/>
            <w:vAlign w:val="top"/>
          </w:tcPr>
          <w:p>
            <w:pP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对特许人违反信息披露义务行为（未按本条例的规定向被特许人提供相关信息;特许人向被特许人提供的信息不准确、不完整或重大变更后未及时通知被特许人）的处罚</w:t>
            </w:r>
          </w:p>
        </w:tc>
        <w:tc>
          <w:tcPr>
            <w:tcW w:w="2475" w:type="dxa"/>
            <w:noWrap w:val="0"/>
            <w:vAlign w:val="top"/>
          </w:tcPr>
          <w:p>
            <w:pP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主动整改或在行政机关责令整改限期内改正，未给被特许人造成严重经济损失的，并签署承诺书的。</w:t>
            </w:r>
          </w:p>
        </w:tc>
        <w:tc>
          <w:tcPr>
            <w:tcW w:w="6630" w:type="dxa"/>
            <w:noWrap w:val="0"/>
            <w:vAlign w:val="top"/>
          </w:tcPr>
          <w:p>
            <w:pP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商业特许经营管理条例》第二十八条:特许人违反本条例第二十一条、第二十三条规定，被特许人向商务主管部门举报并经查实的，由商务主管部门责令改正，处1万元以上5万元以下的罚款；情节严重的，处5万元以上10万元以下的罚款，并予以公告。《商业特许经营信息披露管理办法》第十条：特许人违反本办法规定的，被特许人有权向商务主管部门举报，经查实的，分别依据《条例第二十六条、第二十七条、第二十八条予以处罚。</w:t>
            </w:r>
          </w:p>
        </w:tc>
        <w:tc>
          <w:tcPr>
            <w:tcW w:w="1815" w:type="dxa"/>
            <w:noWrap w:val="0"/>
            <w:vAlign w:val="top"/>
          </w:tcPr>
          <w:p>
            <w:pP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行政约谈、行政回访</w:t>
            </w:r>
          </w:p>
        </w:tc>
      </w:tr>
    </w:tbl>
    <w:p>
      <w:pPr>
        <w:wordWrap/>
        <w:ind w:firstLine="480" w:firstLineChars="200"/>
        <w:jc w:val="left"/>
        <w:rPr>
          <w:rFonts w:hint="default" w:ascii="华文仿宋" w:hAnsi="华文仿宋" w:eastAsia="华文仿宋" w:cs="华文仿宋"/>
          <w:sz w:val="32"/>
          <w:szCs w:val="32"/>
          <w:lang w:val="en-US" w:eastAsia="zh-CN"/>
        </w:rPr>
      </w:pPr>
      <w:r>
        <w:rPr>
          <w:rFonts w:hint="eastAsia" w:ascii="仿宋_GB2312" w:hAnsi="仿宋_GB2312" w:eastAsia="仿宋_GB2312" w:cs="仿宋_GB2312"/>
          <w:sz w:val="24"/>
          <w:szCs w:val="24"/>
          <w:lang w:val="en-US" w:eastAsia="zh-CN"/>
        </w:rPr>
        <w:t>说明：配套监管措施主要是指法律风险防控预先提示、违法行为预警、说服教育、行政建议、行政指导、行政约谈、行政回访等柔性执法方式。</w:t>
      </w:r>
    </w:p>
    <w:p>
      <w:pPr>
        <w:jc w:val="both"/>
        <w:rPr>
          <w:rFonts w:hint="eastAsia" w:ascii="黑体" w:hAnsi="黑体" w:eastAsia="黑体" w:cs="黑体"/>
          <w:color w:val="000000"/>
          <w:kern w:val="0"/>
          <w:sz w:val="32"/>
          <w:szCs w:val="32"/>
          <w:lang w:bidi="ar"/>
        </w:rPr>
        <w:sectPr>
          <w:pgSz w:w="16838" w:h="11906" w:orient="landscape"/>
          <w:pgMar w:top="1803" w:right="1440" w:bottom="1803" w:left="1440" w:header="851" w:footer="992" w:gutter="0"/>
          <w:cols w:space="720" w:num="1"/>
          <w:rtlGutter w:val="0"/>
          <w:docGrid w:type="lines" w:linePitch="319" w:charSpace="0"/>
        </w:sectPr>
      </w:pPr>
    </w:p>
    <w:p>
      <w:pPr>
        <w:jc w:val="both"/>
        <w:rPr>
          <w:rFonts w:hint="default" w:ascii="黑体" w:hAnsi="黑体" w:eastAsia="黑体" w:cs="黑体"/>
          <w:color w:val="000000"/>
          <w:kern w:val="0"/>
          <w:sz w:val="32"/>
          <w:szCs w:val="32"/>
          <w:lang w:val="en" w:eastAsia="zh-CN" w:bidi="ar"/>
        </w:rPr>
      </w:pPr>
      <w:r>
        <w:rPr>
          <w:rFonts w:hint="eastAsia" w:ascii="黑体" w:hAnsi="黑体" w:eastAsia="黑体" w:cs="黑体"/>
          <w:color w:val="000000"/>
          <w:kern w:val="0"/>
          <w:sz w:val="32"/>
          <w:szCs w:val="32"/>
          <w:lang w:bidi="ar"/>
        </w:rPr>
        <w:t>附件</w:t>
      </w:r>
      <w:r>
        <w:rPr>
          <w:rFonts w:hint="default" w:ascii="黑体" w:hAnsi="黑体" w:eastAsia="黑体" w:cs="黑体"/>
          <w:color w:val="000000"/>
          <w:kern w:val="0"/>
          <w:sz w:val="32"/>
          <w:szCs w:val="32"/>
          <w:lang w:val="en" w:bidi="ar"/>
        </w:rPr>
        <w:t>3</w:t>
      </w:r>
    </w:p>
    <w:p>
      <w:pPr>
        <w:jc w:val="center"/>
        <w:rPr>
          <w:rFonts w:hint="eastAsia" w:ascii="宋体" w:hAnsi="宋体" w:eastAsia="宋体" w:cs="宋体"/>
          <w:b/>
          <w:bCs/>
          <w:sz w:val="44"/>
          <w:szCs w:val="44"/>
          <w:lang w:val="en-US" w:eastAsia="zh-CN"/>
        </w:rPr>
      </w:pPr>
      <w:r>
        <w:rPr>
          <w:rFonts w:hint="eastAsia" w:ascii="宋体" w:hAnsi="宋体" w:eastAsia="宋体" w:cs="宋体"/>
          <w:b/>
          <w:bCs/>
          <w:sz w:val="44"/>
          <w:szCs w:val="44"/>
          <w:lang w:val="en-US" w:eastAsia="zh-CN"/>
        </w:rPr>
        <w:t>承诺书（参考样式）</w:t>
      </w:r>
    </w:p>
    <w:p>
      <w:pPr>
        <w:spacing w:line="360" w:lineRule="auto"/>
        <w:jc w:val="center"/>
        <w:rPr>
          <w:rFonts w:hint="eastAsia" w:ascii="仿宋" w:hAnsi="仿宋" w:eastAsia="仿宋" w:cs="仿宋"/>
          <w:b/>
          <w:sz w:val="32"/>
          <w:szCs w:val="32"/>
        </w:rPr>
      </w:pPr>
      <w:r>
        <w:rPr>
          <w:rFonts w:hint="eastAsia" w:ascii="仿宋_GB2312" w:hAnsi="仿宋" w:eastAsia="仿宋_GB2312"/>
          <w:b/>
          <w:sz w:val="32"/>
          <w:szCs w:val="32"/>
        </w:rPr>
        <w:t xml:space="preserve"> </w:t>
      </w:r>
      <w:r>
        <w:rPr>
          <w:rFonts w:hint="eastAsia" w:ascii="仿宋_GB2312" w:hAnsi="仿宋" w:eastAsia="仿宋_GB2312"/>
          <w:b/>
          <w:sz w:val="32"/>
          <w:szCs w:val="32"/>
          <w:lang w:val="en-US" w:eastAsia="zh-CN"/>
        </w:rPr>
        <w:t xml:space="preserve">                            </w:t>
      </w:r>
      <w:r>
        <w:rPr>
          <w:rFonts w:hint="eastAsia" w:ascii="仿宋" w:hAnsi="仿宋" w:eastAsia="仿宋" w:cs="仿宋"/>
          <w:sz w:val="32"/>
          <w:szCs w:val="32"/>
          <w:lang w:val="en-US" w:eastAsia="zh-CN"/>
        </w:rPr>
        <w:t>编号：</w:t>
      </w:r>
    </w:p>
    <w:p>
      <w:pPr>
        <w:spacing w:line="360" w:lineRule="auto"/>
        <w:jc w:val="left"/>
        <w:rPr>
          <w:rFonts w:hint="eastAsia" w:ascii="仿宋" w:hAnsi="仿宋" w:eastAsia="仿宋" w:cs="仿宋"/>
          <w:sz w:val="32"/>
          <w:szCs w:val="32"/>
        </w:rPr>
      </w:pPr>
      <w:r>
        <w:rPr>
          <w:rFonts w:hint="eastAsia" w:ascii="仿宋" w:hAnsi="仿宋" w:eastAsia="仿宋" w:cs="仿宋"/>
          <w:sz w:val="32"/>
          <w:szCs w:val="32"/>
          <w:u w:val="single"/>
        </w:rPr>
        <w:t xml:space="preserve">       </w:t>
      </w:r>
      <w:r>
        <w:rPr>
          <w:rFonts w:hint="eastAsia" w:ascii="仿宋" w:hAnsi="仿宋" w:eastAsia="仿宋" w:cs="仿宋"/>
          <w:sz w:val="32"/>
          <w:szCs w:val="32"/>
          <w:u w:val="single"/>
          <w:lang w:val="en-US" w:eastAsia="zh-CN"/>
        </w:rPr>
        <w:t xml:space="preserve">      </w:t>
      </w:r>
      <w:r>
        <w:rPr>
          <w:rFonts w:hint="eastAsia" w:ascii="仿宋" w:hAnsi="仿宋" w:eastAsia="仿宋" w:cs="仿宋"/>
          <w:sz w:val="32"/>
          <w:szCs w:val="32"/>
        </w:rPr>
        <w:t>：</w:t>
      </w:r>
    </w:p>
    <w:p>
      <w:pPr>
        <w:spacing w:line="360" w:lineRule="auto"/>
        <w:ind w:firstLine="640"/>
        <w:jc w:val="left"/>
        <w:rPr>
          <w:rFonts w:hint="eastAsia" w:ascii="仿宋" w:hAnsi="仿宋" w:eastAsia="仿宋" w:cs="仿宋"/>
          <w:sz w:val="32"/>
          <w:szCs w:val="32"/>
          <w:u w:val="single"/>
        </w:rPr>
      </w:pPr>
      <w:r>
        <w:rPr>
          <w:rFonts w:hint="eastAsia" w:ascii="仿宋" w:hAnsi="仿宋" w:eastAsia="仿宋" w:cs="仿宋"/>
          <w:sz w:val="32"/>
          <w:szCs w:val="32"/>
        </w:rPr>
        <w:t>你</w:t>
      </w:r>
      <w:r>
        <w:rPr>
          <w:rFonts w:hint="eastAsia" w:ascii="仿宋" w:hAnsi="仿宋" w:eastAsia="仿宋" w:cs="仿宋"/>
          <w:sz w:val="32"/>
          <w:szCs w:val="32"/>
          <w:lang w:eastAsia="zh-CN"/>
        </w:rPr>
        <w:t>单位</w:t>
      </w:r>
      <w:r>
        <w:rPr>
          <w:rFonts w:hint="eastAsia" w:ascii="仿宋" w:hAnsi="仿宋" w:eastAsia="仿宋" w:cs="仿宋"/>
          <w:sz w:val="32"/>
          <w:szCs w:val="32"/>
        </w:rPr>
        <w:t>执法人员</w:t>
      </w:r>
      <w:r>
        <w:rPr>
          <w:rFonts w:hint="eastAsia" w:ascii="仿宋" w:hAnsi="仿宋" w:eastAsia="仿宋" w:cs="仿宋"/>
          <w:sz w:val="32"/>
          <w:szCs w:val="32"/>
          <w:u w:val="single"/>
        </w:rPr>
        <w:t xml:space="preserve">     </w:t>
      </w:r>
      <w:r>
        <w:rPr>
          <w:rFonts w:hint="eastAsia" w:ascii="仿宋" w:hAnsi="仿宋" w:eastAsia="仿宋" w:cs="仿宋"/>
          <w:sz w:val="32"/>
          <w:szCs w:val="32"/>
          <w:u w:val="single"/>
          <w:lang w:val="en-US" w:eastAsia="zh-CN"/>
        </w:rPr>
        <w:t xml:space="preserve">   </w:t>
      </w:r>
      <w:r>
        <w:rPr>
          <w:rFonts w:hint="eastAsia" w:ascii="仿宋" w:hAnsi="仿宋" w:eastAsia="仿宋" w:cs="仿宋"/>
          <w:sz w:val="32"/>
          <w:szCs w:val="32"/>
          <w:u w:val="none"/>
          <w:lang w:eastAsia="zh-CN"/>
        </w:rPr>
        <w:t>、</w:t>
      </w:r>
      <w:r>
        <w:rPr>
          <w:rFonts w:hint="eastAsia" w:ascii="仿宋" w:hAnsi="仿宋" w:eastAsia="仿宋" w:cs="仿宋"/>
          <w:sz w:val="32"/>
          <w:szCs w:val="32"/>
          <w:u w:val="single"/>
          <w:lang w:val="en-US" w:eastAsia="zh-CN"/>
        </w:rPr>
        <w:t xml:space="preserve">       </w:t>
      </w:r>
      <w:r>
        <w:rPr>
          <w:rFonts w:hint="eastAsia" w:ascii="仿宋" w:hAnsi="仿宋" w:eastAsia="仿宋" w:cs="仿宋"/>
          <w:sz w:val="32"/>
          <w:szCs w:val="32"/>
        </w:rPr>
        <w:t>在</w:t>
      </w:r>
      <w:r>
        <w:rPr>
          <w:rFonts w:hint="eastAsia" w:ascii="仿宋" w:hAnsi="仿宋" w:eastAsia="仿宋" w:cs="仿宋"/>
          <w:sz w:val="32"/>
          <w:szCs w:val="32"/>
          <w:u w:val="single"/>
        </w:rPr>
        <w:t xml:space="preserve">     </w:t>
      </w:r>
      <w:r>
        <w:rPr>
          <w:rFonts w:hint="eastAsia" w:ascii="仿宋" w:hAnsi="仿宋" w:eastAsia="仿宋" w:cs="仿宋"/>
          <w:sz w:val="32"/>
          <w:szCs w:val="32"/>
        </w:rPr>
        <w:t>年</w:t>
      </w:r>
      <w:r>
        <w:rPr>
          <w:rFonts w:hint="eastAsia" w:ascii="仿宋" w:hAnsi="仿宋" w:eastAsia="仿宋" w:cs="仿宋"/>
          <w:sz w:val="32"/>
          <w:szCs w:val="32"/>
          <w:u w:val="single"/>
        </w:rPr>
        <w:t xml:space="preserve">   </w:t>
      </w:r>
      <w:r>
        <w:rPr>
          <w:rFonts w:hint="eastAsia" w:ascii="仿宋" w:hAnsi="仿宋" w:eastAsia="仿宋" w:cs="仿宋"/>
          <w:sz w:val="32"/>
          <w:szCs w:val="32"/>
        </w:rPr>
        <w:t>月</w:t>
      </w:r>
      <w:r>
        <w:rPr>
          <w:rFonts w:hint="eastAsia" w:ascii="仿宋" w:hAnsi="仿宋" w:eastAsia="仿宋" w:cs="仿宋"/>
          <w:sz w:val="32"/>
          <w:szCs w:val="32"/>
          <w:u w:val="single"/>
        </w:rPr>
        <w:t xml:space="preserve">   </w:t>
      </w:r>
      <w:r>
        <w:rPr>
          <w:rFonts w:hint="eastAsia" w:ascii="仿宋" w:hAnsi="仿宋" w:eastAsia="仿宋" w:cs="仿宋"/>
          <w:sz w:val="32"/>
          <w:szCs w:val="32"/>
        </w:rPr>
        <w:t>日的监督检查中发现我（单位</w:t>
      </w:r>
      <w:r>
        <w:rPr>
          <w:rFonts w:hint="eastAsia" w:ascii="仿宋" w:hAnsi="仿宋" w:eastAsia="仿宋" w:cs="仿宋"/>
          <w:sz w:val="32"/>
          <w:szCs w:val="32"/>
          <w:lang w:eastAsia="zh-CN"/>
        </w:rPr>
        <w:t>：</w:t>
      </w:r>
      <w:r>
        <w:rPr>
          <w:rFonts w:hint="eastAsia" w:ascii="仿宋" w:hAnsi="仿宋" w:eastAsia="仿宋" w:cs="仿宋"/>
          <w:sz w:val="32"/>
          <w:szCs w:val="32"/>
          <w:u w:val="single"/>
          <w:lang w:val="en-US" w:eastAsia="zh-CN"/>
        </w:rPr>
        <w:t xml:space="preserve">         </w:t>
      </w:r>
      <w:r>
        <w:rPr>
          <w:rFonts w:hint="eastAsia" w:ascii="仿宋" w:hAnsi="仿宋" w:eastAsia="仿宋" w:cs="仿宋"/>
          <w:sz w:val="32"/>
          <w:szCs w:val="32"/>
        </w:rPr>
        <w:t>）存在</w:t>
      </w:r>
      <w:r>
        <w:rPr>
          <w:rFonts w:hint="eastAsia" w:ascii="仿宋" w:hAnsi="仿宋" w:eastAsia="仿宋" w:cs="仿宋"/>
          <w:sz w:val="32"/>
          <w:szCs w:val="32"/>
          <w:u w:val="single"/>
        </w:rPr>
        <w:t xml:space="preserve">              </w:t>
      </w:r>
      <w:r>
        <w:rPr>
          <w:rFonts w:hint="eastAsia" w:ascii="仿宋" w:hAnsi="仿宋" w:eastAsia="仿宋" w:cs="仿宋"/>
          <w:sz w:val="32"/>
          <w:szCs w:val="32"/>
          <w:u w:val="single"/>
          <w:lang w:val="en-US" w:eastAsia="zh-CN"/>
        </w:rPr>
        <w:t xml:space="preserve">                       </w:t>
      </w:r>
      <w:r>
        <w:rPr>
          <w:rFonts w:hint="eastAsia" w:ascii="仿宋" w:hAnsi="仿宋" w:eastAsia="仿宋" w:cs="仿宋"/>
          <w:sz w:val="32"/>
          <w:szCs w:val="32"/>
          <w:u w:val="single"/>
        </w:rPr>
        <w:t xml:space="preserve"> </w:t>
      </w:r>
    </w:p>
    <w:p>
      <w:pPr>
        <w:spacing w:line="360" w:lineRule="auto"/>
        <w:jc w:val="left"/>
        <w:rPr>
          <w:rFonts w:hint="eastAsia" w:ascii="仿宋" w:hAnsi="仿宋" w:eastAsia="仿宋" w:cs="仿宋"/>
          <w:sz w:val="32"/>
          <w:szCs w:val="32"/>
        </w:rPr>
      </w:pPr>
      <w:r>
        <w:rPr>
          <w:rFonts w:hint="eastAsia" w:ascii="仿宋" w:hAnsi="仿宋" w:eastAsia="仿宋" w:cs="仿宋"/>
          <w:sz w:val="32"/>
          <w:szCs w:val="32"/>
          <w:u w:val="single"/>
          <w:lang w:val="en-US" w:eastAsia="zh-CN"/>
        </w:rPr>
        <w:t xml:space="preserve">                              </w:t>
      </w:r>
      <w:r>
        <w:rPr>
          <w:rFonts w:hint="eastAsia" w:ascii="仿宋" w:hAnsi="仿宋" w:eastAsia="仿宋" w:cs="仿宋"/>
          <w:sz w:val="32"/>
          <w:szCs w:val="32"/>
          <w:u w:val="none"/>
          <w:lang w:val="en-US" w:eastAsia="zh-CN"/>
        </w:rPr>
        <w:t>违法行为，</w:t>
      </w:r>
      <w:r>
        <w:rPr>
          <w:rFonts w:hint="eastAsia" w:ascii="仿宋" w:hAnsi="仿宋" w:eastAsia="仿宋" w:cs="仿宋"/>
          <w:sz w:val="32"/>
          <w:szCs w:val="32"/>
        </w:rPr>
        <w:t>执法人员已向我（单位）进行了相关告知和</w:t>
      </w:r>
      <w:r>
        <w:rPr>
          <w:rFonts w:hint="eastAsia" w:ascii="仿宋" w:hAnsi="仿宋" w:eastAsia="仿宋" w:cs="仿宋"/>
          <w:b w:val="0"/>
          <w:bCs w:val="0"/>
          <w:sz w:val="32"/>
          <w:szCs w:val="32"/>
          <w:lang w:val="en-US" w:eastAsia="zh-CN"/>
        </w:rPr>
        <w:t>批评</w:t>
      </w:r>
      <w:r>
        <w:rPr>
          <w:rFonts w:hint="eastAsia" w:ascii="仿宋" w:hAnsi="仿宋" w:eastAsia="仿宋" w:cs="仿宋"/>
          <w:sz w:val="32"/>
          <w:szCs w:val="32"/>
        </w:rPr>
        <w:t>教育，并要求我（单位）予以</w:t>
      </w:r>
      <w:r>
        <w:rPr>
          <w:rFonts w:hint="eastAsia" w:ascii="仿宋" w:hAnsi="仿宋" w:eastAsia="仿宋" w:cs="仿宋"/>
          <w:sz w:val="32"/>
          <w:szCs w:val="32"/>
          <w:lang w:eastAsia="zh-CN"/>
        </w:rPr>
        <w:t>改</w:t>
      </w:r>
      <w:r>
        <w:rPr>
          <w:rFonts w:hint="eastAsia" w:ascii="仿宋" w:hAnsi="仿宋" w:eastAsia="仿宋" w:cs="仿宋"/>
          <w:sz w:val="32"/>
          <w:szCs w:val="32"/>
        </w:rPr>
        <w:t>正。</w:t>
      </w:r>
    </w:p>
    <w:p>
      <w:pPr>
        <w:spacing w:line="360" w:lineRule="auto"/>
        <w:ind w:firstLine="640"/>
        <w:jc w:val="left"/>
        <w:rPr>
          <w:rFonts w:hint="eastAsia" w:ascii="仿宋" w:hAnsi="仿宋" w:eastAsia="仿宋" w:cs="仿宋"/>
          <w:sz w:val="32"/>
          <w:szCs w:val="32"/>
        </w:rPr>
      </w:pPr>
      <w:r>
        <w:rPr>
          <w:rFonts w:hint="eastAsia" w:ascii="仿宋" w:hAnsi="仿宋" w:eastAsia="仿宋" w:cs="仿宋"/>
          <w:sz w:val="32"/>
          <w:szCs w:val="32"/>
        </w:rPr>
        <w:t>我（单位）对以上情况确认无误，并自愿承诺：</w:t>
      </w:r>
    </w:p>
    <w:p>
      <w:pPr>
        <w:spacing w:line="360" w:lineRule="auto"/>
        <w:ind w:firstLine="640"/>
        <w:jc w:val="left"/>
        <w:rPr>
          <w:rFonts w:hint="eastAsia" w:ascii="仿宋" w:hAnsi="仿宋" w:eastAsia="仿宋" w:cs="仿宋"/>
          <w:sz w:val="32"/>
          <w:szCs w:val="32"/>
        </w:rPr>
      </w:pPr>
      <w:r>
        <w:rPr>
          <w:rFonts w:hint="eastAsia" w:ascii="仿宋" w:hAnsi="仿宋" w:eastAsia="仿宋" w:cs="仿宋"/>
          <w:sz w:val="32"/>
          <w:szCs w:val="32"/>
        </w:rPr>
        <w:t>□1、立即予以</w:t>
      </w:r>
      <w:r>
        <w:rPr>
          <w:rFonts w:hint="eastAsia" w:ascii="仿宋" w:hAnsi="仿宋" w:eastAsia="仿宋" w:cs="仿宋"/>
          <w:sz w:val="32"/>
          <w:szCs w:val="32"/>
          <w:lang w:eastAsia="zh-CN"/>
        </w:rPr>
        <w:t>改</w:t>
      </w:r>
      <w:r>
        <w:rPr>
          <w:rFonts w:hint="eastAsia" w:ascii="仿宋" w:hAnsi="仿宋" w:eastAsia="仿宋" w:cs="仿宋"/>
          <w:sz w:val="32"/>
          <w:szCs w:val="32"/>
        </w:rPr>
        <w:t>正；</w:t>
      </w:r>
    </w:p>
    <w:p>
      <w:pPr>
        <w:spacing w:line="360" w:lineRule="auto"/>
        <w:ind w:firstLine="640"/>
        <w:jc w:val="left"/>
        <w:rPr>
          <w:rFonts w:hint="eastAsia" w:ascii="仿宋" w:hAnsi="仿宋" w:eastAsia="仿宋" w:cs="仿宋"/>
          <w:sz w:val="32"/>
          <w:szCs w:val="32"/>
        </w:rPr>
      </w:pPr>
      <w:r>
        <w:rPr>
          <w:rFonts w:hint="eastAsia" w:ascii="仿宋" w:hAnsi="仿宋" w:eastAsia="仿宋" w:cs="仿宋"/>
          <w:sz w:val="32"/>
          <w:szCs w:val="32"/>
        </w:rPr>
        <w:t>□2、在</w:t>
      </w:r>
      <w:r>
        <w:rPr>
          <w:rFonts w:hint="eastAsia" w:ascii="仿宋" w:hAnsi="仿宋" w:eastAsia="仿宋" w:cs="仿宋"/>
          <w:sz w:val="32"/>
          <w:szCs w:val="32"/>
          <w:u w:val="single"/>
        </w:rPr>
        <w:t xml:space="preserve">   </w:t>
      </w:r>
      <w:r>
        <w:rPr>
          <w:rFonts w:hint="eastAsia" w:ascii="仿宋" w:hAnsi="仿宋" w:eastAsia="仿宋" w:cs="仿宋"/>
          <w:sz w:val="32"/>
          <w:szCs w:val="32"/>
        </w:rPr>
        <w:t>月</w:t>
      </w:r>
      <w:r>
        <w:rPr>
          <w:rFonts w:hint="eastAsia" w:ascii="仿宋" w:hAnsi="仿宋" w:eastAsia="仿宋" w:cs="仿宋"/>
          <w:sz w:val="32"/>
          <w:szCs w:val="32"/>
          <w:u w:val="single"/>
        </w:rPr>
        <w:t xml:space="preserve">   </w:t>
      </w:r>
      <w:r>
        <w:rPr>
          <w:rFonts w:hint="eastAsia" w:ascii="仿宋" w:hAnsi="仿宋" w:eastAsia="仿宋" w:cs="仿宋"/>
          <w:sz w:val="32"/>
          <w:szCs w:val="32"/>
        </w:rPr>
        <w:t>日前</w:t>
      </w:r>
      <w:r>
        <w:rPr>
          <w:rFonts w:hint="eastAsia" w:ascii="仿宋" w:hAnsi="仿宋" w:eastAsia="仿宋" w:cs="仿宋"/>
          <w:sz w:val="32"/>
          <w:szCs w:val="32"/>
          <w:lang w:eastAsia="zh-CN"/>
        </w:rPr>
        <w:t>改</w:t>
      </w:r>
      <w:r>
        <w:rPr>
          <w:rFonts w:hint="eastAsia" w:ascii="仿宋" w:hAnsi="仿宋" w:eastAsia="仿宋" w:cs="仿宋"/>
          <w:sz w:val="32"/>
          <w:szCs w:val="32"/>
        </w:rPr>
        <w:t>正,并将整改情况说明及相关证明材料送达你</w:t>
      </w:r>
      <w:r>
        <w:rPr>
          <w:rFonts w:hint="eastAsia" w:ascii="仿宋" w:hAnsi="仿宋" w:eastAsia="仿宋" w:cs="仿宋"/>
          <w:sz w:val="32"/>
          <w:szCs w:val="32"/>
          <w:lang w:eastAsia="zh-CN"/>
        </w:rPr>
        <w:t>单位</w:t>
      </w:r>
      <w:r>
        <w:rPr>
          <w:rFonts w:hint="eastAsia" w:ascii="仿宋" w:hAnsi="仿宋" w:eastAsia="仿宋" w:cs="仿宋"/>
          <w:sz w:val="32"/>
          <w:szCs w:val="32"/>
        </w:rPr>
        <w:t>。</w:t>
      </w:r>
    </w:p>
    <w:p>
      <w:pPr>
        <w:spacing w:line="360" w:lineRule="auto"/>
        <w:ind w:firstLine="600"/>
        <w:jc w:val="left"/>
        <w:rPr>
          <w:rFonts w:hint="eastAsia" w:ascii="仿宋" w:hAnsi="仿宋" w:eastAsia="仿宋" w:cs="仿宋"/>
          <w:sz w:val="32"/>
          <w:szCs w:val="32"/>
        </w:rPr>
      </w:pPr>
      <w:r>
        <w:rPr>
          <w:rFonts w:hint="eastAsia" w:ascii="仿宋" w:hAnsi="仿宋" w:eastAsia="仿宋" w:cs="仿宋"/>
          <w:sz w:val="32"/>
          <w:szCs w:val="32"/>
        </w:rPr>
        <w:t>若我（单位）未履行上述承诺，愿依法承担相应的法律责任。</w:t>
      </w:r>
    </w:p>
    <w:p>
      <w:pPr>
        <w:spacing w:line="360" w:lineRule="auto"/>
        <w:ind w:firstLine="600"/>
        <w:jc w:val="left"/>
        <w:rPr>
          <w:rFonts w:hint="eastAsia" w:ascii="仿宋" w:hAnsi="仿宋" w:eastAsia="仿宋" w:cs="仿宋"/>
          <w:sz w:val="32"/>
          <w:szCs w:val="32"/>
        </w:rPr>
      </w:pPr>
    </w:p>
    <w:p>
      <w:pPr>
        <w:wordWrap w:val="0"/>
        <w:spacing w:line="360" w:lineRule="auto"/>
        <w:jc w:val="right"/>
        <w:rPr>
          <w:rFonts w:hint="eastAsia" w:ascii="仿宋" w:hAnsi="仿宋" w:eastAsia="仿宋" w:cs="仿宋"/>
          <w:sz w:val="32"/>
          <w:szCs w:val="32"/>
          <w:lang w:val="en-US" w:eastAsia="zh-CN"/>
        </w:rPr>
      </w:pPr>
      <w:r>
        <w:rPr>
          <w:rFonts w:hint="eastAsia" w:ascii="仿宋" w:hAnsi="仿宋" w:eastAsia="仿宋" w:cs="仿宋"/>
          <w:sz w:val="32"/>
          <w:szCs w:val="32"/>
        </w:rPr>
        <w:t>承诺人签名或盖章：</w:t>
      </w:r>
      <w:r>
        <w:rPr>
          <w:rFonts w:hint="eastAsia" w:ascii="仿宋" w:hAnsi="仿宋" w:eastAsia="仿宋" w:cs="仿宋"/>
          <w:sz w:val="32"/>
          <w:szCs w:val="32"/>
          <w:lang w:val="en-US" w:eastAsia="zh-CN"/>
        </w:rPr>
        <w:t xml:space="preserve">                </w:t>
      </w:r>
    </w:p>
    <w:p>
      <w:pPr>
        <w:wordWrap w:val="0"/>
        <w:spacing w:line="360" w:lineRule="auto"/>
        <w:jc w:val="right"/>
        <w:rPr>
          <w:rFonts w:hint="eastAsia" w:ascii="仿宋" w:hAnsi="仿宋" w:eastAsia="仿宋" w:cs="仿宋"/>
          <w:sz w:val="32"/>
          <w:szCs w:val="32"/>
          <w:lang w:val="en-US" w:eastAsia="zh-CN"/>
        </w:rPr>
      </w:pPr>
      <w:r>
        <w:rPr>
          <w:rFonts w:hint="eastAsia" w:ascii="仿宋" w:hAnsi="仿宋" w:eastAsia="仿宋" w:cs="仿宋"/>
          <w:sz w:val="32"/>
          <w:szCs w:val="32"/>
        </w:rPr>
        <w:t>年   月   日</w:t>
      </w:r>
      <w:r>
        <w:rPr>
          <w:rFonts w:hint="eastAsia" w:ascii="仿宋" w:hAnsi="仿宋" w:eastAsia="仿宋" w:cs="仿宋"/>
          <w:sz w:val="32"/>
          <w:szCs w:val="32"/>
          <w:lang w:val="en-US" w:eastAsia="zh-CN"/>
        </w:rPr>
        <w:t xml:space="preserve">     </w:t>
      </w:r>
    </w:p>
    <w:p>
      <w:pPr>
        <w:spacing w:line="360" w:lineRule="auto"/>
        <w:jc w:val="left"/>
        <w:rPr>
          <w:rFonts w:hint="eastAsia" w:ascii="仿宋" w:hAnsi="仿宋" w:eastAsia="仿宋" w:cs="仿宋"/>
          <w:sz w:val="32"/>
          <w:szCs w:val="32"/>
        </w:rPr>
      </w:pPr>
    </w:p>
    <w:p>
      <w:pPr>
        <w:spacing w:line="360" w:lineRule="auto"/>
        <w:jc w:val="left"/>
        <w:rPr>
          <w:rFonts w:hint="eastAsia" w:ascii="仿宋" w:hAnsi="仿宋" w:eastAsia="仿宋" w:cs="仿宋"/>
          <w:sz w:val="32"/>
          <w:szCs w:val="32"/>
          <w:lang w:eastAsia="zh-CN"/>
        </w:rPr>
      </w:pPr>
      <w:r>
        <w:rPr>
          <w:rFonts w:hint="eastAsia" w:ascii="仿宋" w:hAnsi="仿宋" w:eastAsia="仿宋" w:cs="仿宋"/>
          <w:sz w:val="32"/>
          <w:szCs w:val="32"/>
        </w:rPr>
        <w:t xml:space="preserve">    附：</w:t>
      </w:r>
      <w:r>
        <w:rPr>
          <w:rFonts w:hint="eastAsia" w:ascii="仿宋" w:hAnsi="仿宋" w:eastAsia="仿宋" w:cs="仿宋"/>
          <w:sz w:val="32"/>
          <w:szCs w:val="32"/>
          <w:lang w:eastAsia="zh-CN"/>
        </w:rPr>
        <w:t>当事人身份证（</w:t>
      </w:r>
      <w:r>
        <w:rPr>
          <w:rFonts w:hint="eastAsia" w:ascii="仿宋" w:hAnsi="仿宋" w:eastAsia="仿宋" w:cs="仿宋"/>
          <w:sz w:val="32"/>
          <w:szCs w:val="32"/>
        </w:rPr>
        <w:t>营业执照</w:t>
      </w:r>
      <w:r>
        <w:rPr>
          <w:rFonts w:hint="eastAsia" w:ascii="仿宋" w:hAnsi="仿宋" w:eastAsia="仿宋" w:cs="仿宋"/>
          <w:sz w:val="32"/>
          <w:szCs w:val="32"/>
          <w:lang w:eastAsia="zh-CN"/>
        </w:rPr>
        <w:t>）</w:t>
      </w:r>
      <w:r>
        <w:rPr>
          <w:rFonts w:hint="eastAsia" w:ascii="仿宋" w:hAnsi="仿宋" w:eastAsia="仿宋" w:cs="仿宋"/>
          <w:sz w:val="32"/>
          <w:szCs w:val="32"/>
        </w:rPr>
        <w:t>复印件</w:t>
      </w:r>
    </w:p>
    <w:p>
      <w:pPr>
        <w:pStyle w:val="2"/>
        <w:keepNext w:val="0"/>
        <w:keepLines w:val="0"/>
        <w:pageBreakBefore w:val="0"/>
        <w:widowControl w:val="0"/>
        <w:kinsoku/>
        <w:wordWrap/>
        <w:overflowPunct/>
        <w:topLinePunct w:val="0"/>
        <w:autoSpaceDE/>
        <w:autoSpaceDN/>
        <w:bidi w:val="0"/>
        <w:adjustRightInd/>
        <w:snapToGrid w:val="0"/>
        <w:spacing w:line="240" w:lineRule="exact"/>
        <w:textAlignment w:val="auto"/>
        <w:outlineLvl w:val="9"/>
        <w:rPr>
          <w:rFonts w:hint="eastAsia" w:ascii="仿宋" w:hAnsi="仿宋" w:eastAsia="仿宋" w:cs="仿宋"/>
          <w:sz w:val="32"/>
          <w:szCs w:val="32"/>
          <w:lang w:eastAsia="zh-CN"/>
        </w:rPr>
      </w:pPr>
    </w:p>
    <w:p>
      <w:pPr>
        <w:ind w:firstLine="640" w:firstLineChars="200"/>
        <w:rPr>
          <w:rFonts w:hint="eastAsia" w:ascii="仿宋" w:hAnsi="仿宋" w:eastAsia="仿宋" w:cs="仿宋"/>
          <w:sz w:val="32"/>
          <w:szCs w:val="32"/>
          <w:lang w:eastAsia="zh-CN"/>
        </w:rPr>
      </w:pPr>
      <w:r>
        <w:rPr>
          <w:rFonts w:hint="eastAsia" w:ascii="仿宋" w:hAnsi="仿宋" w:eastAsia="仿宋" w:cs="仿宋"/>
          <w:sz w:val="32"/>
          <w:szCs w:val="32"/>
          <w:lang w:eastAsia="zh-CN"/>
        </w:rPr>
        <w:t>注：本承诺书一式两份，执法部门和当事人各一份。</w:t>
      </w:r>
    </w:p>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Q3OTliMjQ2MmFjOTg1ZjViZWZmYzY0MmIzNzMxY2QifQ=="/>
  </w:docVars>
  <w:rsids>
    <w:rsidRoot w:val="00000000"/>
    <w:rsid w:val="5987697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note text"/>
    <w:basedOn w:val="1"/>
    <w:qFormat/>
    <w:uiPriority w:val="99"/>
    <w:pPr>
      <w:widowControl w:val="0"/>
      <w:snapToGrid w:val="0"/>
      <w:jc w:val="left"/>
    </w:pPr>
    <w:rPr>
      <w:rFonts w:ascii="Calibri" w:hAnsi="Calibri" w:eastAsia="宋体" w:cs="Times New Roman"/>
      <w:kern w:val="2"/>
      <w:sz w:val="18"/>
      <w:szCs w:val="18"/>
      <w:lang w:val="en-US" w:eastAsia="zh-CN" w:bidi="ar-SA"/>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杰克</cp:lastModifiedBy>
  <dcterms:modified xsi:type="dcterms:W3CDTF">2022-09-15T02:07:51Z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991632DDDE9942239E383A745D320C10</vt:lpwstr>
  </property>
</Properties>
</file>