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ind w:firstLine="420"/>
        <w:jc w:val="center"/>
        <w:rPr>
          <w:rFonts w:hint="eastAsia" w:ascii="仿宋_GB2312" w:hAnsi="仿宋_GB2312" w:eastAsia="仿宋_GB2312" w:cs="仿宋_GB2312"/>
          <w:sz w:val="36"/>
          <w:szCs w:val="36"/>
        </w:rPr>
      </w:pPr>
      <w:r>
        <w:rPr>
          <w:rFonts w:hint="eastAsia" w:ascii="仿宋" w:hAnsi="仿宋" w:eastAsia="仿宋" w:cs="仿宋"/>
          <w:b/>
          <w:bCs/>
          <w:sz w:val="48"/>
          <w:szCs w:val="48"/>
          <w:lang w:eastAsia="zh-CN"/>
        </w:rPr>
        <w:t>封丘县</w:t>
      </w:r>
      <w:bookmarkStart w:id="0" w:name="_GoBack"/>
      <w:bookmarkEnd w:id="0"/>
      <w:r>
        <w:rPr>
          <w:rFonts w:hint="eastAsia" w:ascii="仿宋" w:hAnsi="仿宋" w:eastAsia="仿宋" w:cs="仿宋"/>
          <w:b/>
          <w:bCs/>
          <w:sz w:val="48"/>
          <w:szCs w:val="48"/>
          <w:lang w:eastAsia="zh-CN"/>
        </w:rPr>
        <w:t>商务</w:t>
      </w:r>
      <w:r>
        <w:rPr>
          <w:rFonts w:hint="eastAsia" w:ascii="仿宋" w:hAnsi="仿宋" w:eastAsia="仿宋" w:cs="仿宋"/>
          <w:b/>
          <w:bCs/>
          <w:sz w:val="48"/>
          <w:szCs w:val="48"/>
        </w:rPr>
        <w:t>领域轻微违法免予处罚清单（共13项）</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665"/>
        <w:gridCol w:w="5944"/>
        <w:gridCol w:w="2641"/>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743" w:type="dxa"/>
            <w:noWrap w:val="0"/>
            <w:vAlign w:val="center"/>
          </w:tcPr>
          <w:p>
            <w:pPr>
              <w:jc w:val="center"/>
              <w:rPr>
                <w:rFonts w:hint="eastAsia" w:ascii="仿宋_GB2312" w:hAnsi="仿宋_GB2312" w:eastAsia="仿宋_GB2312" w:cs="仿宋_GB2312"/>
                <w:sz w:val="24"/>
                <w:szCs w:val="24"/>
                <w:vertAlign w:val="baseline"/>
              </w:rPr>
            </w:pPr>
            <w:r>
              <w:rPr>
                <w:rFonts w:hint="eastAsia" w:ascii="仿宋" w:hAnsi="仿宋" w:eastAsia="仿宋" w:cs="仿宋"/>
                <w:b/>
                <w:bCs/>
                <w:sz w:val="24"/>
                <w:szCs w:val="24"/>
                <w:vertAlign w:val="baseline"/>
              </w:rPr>
              <w:t>序号</w:t>
            </w:r>
          </w:p>
        </w:tc>
        <w:tc>
          <w:tcPr>
            <w:tcW w:w="2665" w:type="dxa"/>
            <w:noWrap w:val="0"/>
            <w:vAlign w:val="center"/>
          </w:tcPr>
          <w:p>
            <w:pPr>
              <w:jc w:val="center"/>
              <w:rPr>
                <w:rFonts w:hint="eastAsia" w:ascii="楷体" w:hAnsi="楷体" w:eastAsia="楷体" w:cs="楷体"/>
                <w:b w:val="0"/>
                <w:bCs w:val="0"/>
                <w:sz w:val="24"/>
                <w:szCs w:val="24"/>
                <w:vertAlign w:val="baseline"/>
              </w:rPr>
            </w:pPr>
            <w:r>
              <w:rPr>
                <w:rFonts w:hint="eastAsia" w:ascii="楷体" w:hAnsi="楷体" w:eastAsia="楷体" w:cs="楷体"/>
                <w:b w:val="0"/>
                <w:bCs w:val="0"/>
                <w:sz w:val="24"/>
                <w:szCs w:val="24"/>
                <w:vertAlign w:val="baseline"/>
              </w:rPr>
              <w:t>处罚事项名称</w:t>
            </w:r>
          </w:p>
        </w:tc>
        <w:tc>
          <w:tcPr>
            <w:tcW w:w="5944" w:type="dxa"/>
            <w:noWrap w:val="0"/>
            <w:vAlign w:val="center"/>
          </w:tcPr>
          <w:p>
            <w:pPr>
              <w:jc w:val="center"/>
              <w:rPr>
                <w:rFonts w:hint="eastAsia" w:ascii="楷体" w:hAnsi="楷体" w:eastAsia="楷体" w:cs="楷体"/>
                <w:b w:val="0"/>
                <w:bCs w:val="0"/>
                <w:sz w:val="24"/>
                <w:szCs w:val="24"/>
                <w:vertAlign w:val="baseline"/>
              </w:rPr>
            </w:pPr>
            <w:r>
              <w:rPr>
                <w:rFonts w:hint="eastAsia" w:ascii="楷体" w:hAnsi="楷体" w:eastAsia="楷体" w:cs="楷体"/>
                <w:b w:val="0"/>
                <w:bCs w:val="0"/>
                <w:sz w:val="24"/>
                <w:szCs w:val="24"/>
                <w:vertAlign w:val="baseline"/>
              </w:rPr>
              <w:t>设定依据</w:t>
            </w:r>
          </w:p>
        </w:tc>
        <w:tc>
          <w:tcPr>
            <w:tcW w:w="2641" w:type="dxa"/>
            <w:noWrap w:val="0"/>
            <w:vAlign w:val="center"/>
          </w:tcPr>
          <w:p>
            <w:pPr>
              <w:jc w:val="center"/>
              <w:rPr>
                <w:rFonts w:hint="eastAsia" w:ascii="楷体" w:hAnsi="楷体" w:eastAsia="楷体" w:cs="楷体"/>
                <w:b w:val="0"/>
                <w:bCs w:val="0"/>
                <w:sz w:val="24"/>
                <w:szCs w:val="24"/>
                <w:vertAlign w:val="baseline"/>
              </w:rPr>
            </w:pPr>
            <w:r>
              <w:rPr>
                <w:rFonts w:hint="eastAsia" w:ascii="楷体" w:hAnsi="楷体" w:eastAsia="楷体" w:cs="楷体"/>
                <w:b w:val="0"/>
                <w:bCs w:val="0"/>
                <w:sz w:val="24"/>
                <w:szCs w:val="24"/>
                <w:vertAlign w:val="baseline"/>
              </w:rPr>
              <w:t>免予处罚情形</w:t>
            </w:r>
          </w:p>
        </w:tc>
        <w:tc>
          <w:tcPr>
            <w:tcW w:w="2039" w:type="dxa"/>
            <w:noWrap w:val="0"/>
            <w:vAlign w:val="center"/>
          </w:tcPr>
          <w:p>
            <w:pPr>
              <w:jc w:val="center"/>
              <w:rPr>
                <w:rFonts w:hint="eastAsia" w:ascii="楷体" w:hAnsi="楷体" w:eastAsia="楷体" w:cs="楷体"/>
                <w:sz w:val="24"/>
                <w:szCs w:val="24"/>
                <w:vertAlign w:val="baseline"/>
              </w:rPr>
            </w:pPr>
            <w:r>
              <w:rPr>
                <w:rFonts w:hint="eastAsia" w:ascii="楷体" w:hAnsi="楷体" w:eastAsia="楷体" w:cs="楷体"/>
                <w:sz w:val="24"/>
                <w:szCs w:val="24"/>
                <w:vertAlign w:val="baseli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w:t>
            </w:r>
          </w:p>
        </w:tc>
        <w:tc>
          <w:tcPr>
            <w:tcW w:w="2665" w:type="dxa"/>
            <w:noWrap w:val="0"/>
            <w:vAlign w:val="top"/>
          </w:tcPr>
          <w:p>
            <w:pPr>
              <w:jc w:val="both"/>
              <w:rPr>
                <w:rFonts w:hint="eastAsia" w:ascii="仿宋" w:hAnsi="仿宋" w:eastAsia="仿宋" w:cs="仿宋"/>
                <w:sz w:val="21"/>
                <w:szCs w:val="21"/>
                <w:vertAlign w:val="baseline"/>
              </w:rPr>
            </w:pPr>
          </w:p>
          <w:p>
            <w:pPr>
              <w:jc w:val="both"/>
              <w:rPr>
                <w:rFonts w:hint="eastAsia" w:ascii="仿宋" w:hAnsi="仿宋" w:eastAsia="仿宋" w:cs="仿宋"/>
                <w:sz w:val="21"/>
                <w:szCs w:val="21"/>
                <w:vertAlign w:val="baseline"/>
              </w:rPr>
            </w:pPr>
          </w:p>
          <w:p>
            <w:pPr>
              <w:jc w:val="both"/>
              <w:rPr>
                <w:rFonts w:hint="eastAsia" w:ascii="仿宋" w:hAnsi="仿宋" w:eastAsia="仿宋" w:cs="仿宋"/>
                <w:sz w:val="21"/>
                <w:szCs w:val="21"/>
                <w:vertAlign w:val="baseline"/>
              </w:rPr>
            </w:pPr>
          </w:p>
          <w:p>
            <w:pPr>
              <w:jc w:val="both"/>
              <w:rPr>
                <w:rFonts w:hint="eastAsia" w:ascii="仿宋" w:hAnsi="仿宋" w:eastAsia="仿宋" w:cs="仿宋"/>
                <w:sz w:val="21"/>
                <w:szCs w:val="21"/>
                <w:vertAlign w:val="baseline"/>
              </w:rPr>
            </w:pPr>
          </w:p>
          <w:p>
            <w:pPr>
              <w:jc w:val="both"/>
              <w:rPr>
                <w:rFonts w:hint="eastAsia" w:ascii="仿宋" w:hAnsi="仿宋" w:eastAsia="仿宋" w:cs="仿宋"/>
                <w:sz w:val="21"/>
                <w:szCs w:val="21"/>
                <w:vertAlign w:val="baseline"/>
              </w:rPr>
            </w:pPr>
            <w:r>
              <w:rPr>
                <w:rFonts w:hint="eastAsia" w:ascii="仿宋" w:hAnsi="仿宋" w:eastAsia="仿宋" w:cs="仿宋"/>
                <w:sz w:val="21"/>
                <w:szCs w:val="21"/>
                <w:vertAlign w:val="baseline"/>
              </w:rPr>
              <w:t>经销商在标价之外加价销售或收取额外费用</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《汽车销售管理办法》第十条 经销商应当在经营场所以适当形式明示销售汽车、配件及其他相关产品的价格和各项服务收费标准，不得在标价之外加价销售或收取额外费用。</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2.未对消费者权益造成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损害；</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3"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未经供应商授权或者授权终止的，经销商以供应商授权销售汽车的名义从事经营活动</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《汽车销售管理办法》第十二条 经销商出售未经供应商授权销售的汽车，或者未经境外汽车生产企业授权销售的进口汽车，应当以书面形式向消费者作出提醒和说明，并书面告知向消费者承担相关责任的主体。未经供应商授权或者授权终止的，经销商不得以供应商授权销售汽车的名义从事经营活动。</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2.消费者未发生实际购</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买；</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7"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3</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供应商、经销商限定消费者户籍所在地，限定汽车配件、用品、金融、保险、救援等产品提供商和售后服务商，强制消费者购买保险或者强制为其提供代办车辆注册登记等服务</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《汽车销售管理办法》第十四条 供应商、经销商不得限定消费者户籍所在地，不得对消费者限定汽车配件、用品、金融、保险、救援等产品的提供商和售后服务商，但家用汽车产品“三包”服务、召回等由供应商承担费用时使用的配件和服务除外。经销商销售汽车时不得强制消费者购买保险或者强制为其提供代办车辆注册登记等服务。</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2.未对消费者权益产生</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损害的；</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9"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4</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经销商、售后服务商销售或者提供配件不如实标明原厂配件、质量相当配件、再制造件、回用件等，不明示生产商（进口产品为进口商）、生产日期、适配车型等信息</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《汽车销售管理办法》第十七条第一款 经销商、售后服务商销售或者提供配件应当如实标明原厂配件、质量相当配件、再制造件、回用件等，明示生产商（进口产品为进口商）、生产日期、适配车型等信息，向消费者销售或者提供原厂配件以外的其他配件时，应当予以提醒和说明。</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2.消费者未发生实际购</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买；</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5</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供应商违规限制配件生产商销售对象，不及时公布停产停售车型，不能保证其后 10 年配件供应及相应售后服务</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《汽车销售管理办法》第二十一条 供应商不得限制配件生产商（进口产品为进口商）的销售对象，不得限制经销商、售后服务商转售配件，有关法律法规规章及其配套的规范性文件另有规定的除外。供应商应当及时向社会公布停产或者停止销售的车型，并保证其后至少 10 年的配件供应以及相应的售后服务。</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2.未对经销商权益产生</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损害的；</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2"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6</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经销商不再经营供应商产品后不履行法律规定义务</w:t>
            </w:r>
          </w:p>
        </w:tc>
        <w:tc>
          <w:tcPr>
            <w:tcW w:w="5944"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《汽车销售管理办法》第二十三条第二款 经销商不再经营供应商产品的，应当将客户、车辆资料和维修历史记录在授权合同终止后 30 日内移交给供应商，不得实施有损于供应商品牌形象的行为；家用汽车产品经销商不再经营供应商产品时，应当及时通知消费者，在供应商的配合下变更承担“三包”责任的经销商。供应商、承担“三包”责任的经销商应当保证为消费者继续提供相应的售后服务。</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2.未对供应商、消费者</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权益产生损害的；</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8"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7</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供应商对经销商实施法规列举的违法行为</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《汽车销售管理办法》第二十四条 供应商可以</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要求经销商为本企业品牌汽车设立单独展区，满</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足经营需要和维护品牌形象的基本功能，但不得</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对经销商实施下列行为：（一）要求同时具备销</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售、售后服务等功能；……（九）限制本企业汽</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车产品经销商之间相互转售。</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2.未对经销商权益产生</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损害的；</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4"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8</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供应商制定或实施营销奖励等商务政策中的违法行为</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《汽车销售管理办法》第二十五条 供应商制定或实施营销奖励等商务政策应当遵循公平、公正、透明的原则。供应商应当向经销商明确商务政策的主要内容，对于临时性商务政策，应当提前以双方约定的方式告知；对于被解除授权的经销商，应当维护经销商在授权期间应有的权益，不得拒绝或延迟支付销售返利。</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2.未对经销商权益产生</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损害的；</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rPr>
              <w:t>书。</w:t>
            </w:r>
            <w:r>
              <w:rPr>
                <w:rFonts w:hint="eastAsia" w:ascii="仿宋" w:hAnsi="仿宋" w:eastAsia="仿宋" w:cs="仿宋"/>
                <w:sz w:val="21"/>
                <w:szCs w:val="21"/>
                <w:vertAlign w:val="baseline"/>
                <w:lang w:val="en-US" w:eastAsia="zh-CN"/>
              </w:rPr>
              <w:t xml:space="preserve"> </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2"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both"/>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 xml:space="preserve">  9</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双方没有约定情况下，供应商在经销商获得授权销售区域内向消费者直接销售汽车</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汽车销售管理办法》第二十六条 除双方合同另有约定外, 供应商在经销商获得授权销售区域内不得向消费者直接销售汽车。</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第三十二条 违反本办法第十条、第十二条、第十四条、第十七条第一款、第二十一条、第二十三条第二款、第二十四条、第二十五条、第二十六条有关规定的，由县级以上地方商务主管部门责令改正，并可给予警告或 3 万元以下罚款。</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2.销售额不满 50 万元；</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7" w:hRule="atLeast"/>
        </w:trPr>
        <w:tc>
          <w:tcPr>
            <w:tcW w:w="743" w:type="dxa"/>
            <w:noWrap w:val="0"/>
            <w:vAlign w:val="top"/>
          </w:tcPr>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default" w:ascii="仿宋_GB2312" w:hAnsi="仿宋_GB2312" w:eastAsia="仿宋_GB2312" w:cs="仿宋_GB2312"/>
                <w:i/>
                <w:iCs/>
                <w:sz w:val="21"/>
                <w:szCs w:val="21"/>
                <w:vertAlign w:val="baseline"/>
                <w:lang w:val="en-US" w:eastAsia="zh-CN"/>
              </w:rPr>
            </w:pPr>
            <w:r>
              <w:rPr>
                <w:rFonts w:hint="eastAsia" w:ascii="仿宋_GB2312" w:hAnsi="仿宋_GB2312" w:eastAsia="仿宋_GB2312" w:cs="仿宋_GB2312"/>
                <w:i/>
                <w:iCs/>
                <w:sz w:val="21"/>
                <w:szCs w:val="21"/>
                <w:vertAlign w:val="baseline"/>
                <w:lang w:val="en-US" w:eastAsia="zh-CN"/>
              </w:rPr>
              <w:t>10</w:t>
            </w:r>
          </w:p>
        </w:tc>
        <w:tc>
          <w:tcPr>
            <w:tcW w:w="2665" w:type="dxa"/>
            <w:noWrap w:val="0"/>
            <w:vAlign w:val="top"/>
          </w:tcPr>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特许人未以书面形式向被特许人说明费用的用途以及退还的条件、方式</w:t>
            </w:r>
          </w:p>
        </w:tc>
        <w:tc>
          <w:tcPr>
            <w:tcW w:w="5944" w:type="dxa"/>
            <w:noWrap w:val="0"/>
            <w:vAlign w:val="top"/>
          </w:tcPr>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《商品特许经营管理条例》第十六条 特许人要求被特许人在订立特许经营合同前支付费用的，应当以书面形式向被特许人说明该部分费用的用途以及退还的条件、方式。</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第二十六条 特许人违反本条例第十六条、第十九条规定的，由商务主管部门责令改正，可以处1 万元以下的罚款；情节严重的，处 1 万元以上 5万元以下的罚款，并予以公告。</w:t>
            </w:r>
          </w:p>
        </w:tc>
        <w:tc>
          <w:tcPr>
            <w:tcW w:w="2641" w:type="dxa"/>
            <w:noWrap w:val="0"/>
            <w:vAlign w:val="top"/>
          </w:tcPr>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同时具备以下条件：</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1.初次违法；</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2.未对被特许人权益产</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生损害的；</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3.主动整改或在行政机</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关责令（限期）改正限</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期内改正，并签署承诺</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书。</w:t>
            </w:r>
          </w:p>
        </w:tc>
        <w:tc>
          <w:tcPr>
            <w:tcW w:w="2039" w:type="dxa"/>
            <w:noWrap w:val="0"/>
            <w:vAlign w:val="top"/>
          </w:tcPr>
          <w:p>
            <w:pPr>
              <w:rPr>
                <w:rFonts w:hint="eastAsia" w:ascii="仿宋" w:hAnsi="仿宋" w:eastAsia="仿宋" w:cs="仿宋"/>
                <w:i/>
                <w:iCs/>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8" w:hRule="atLeast"/>
        </w:trPr>
        <w:tc>
          <w:tcPr>
            <w:tcW w:w="743" w:type="dxa"/>
            <w:noWrap w:val="0"/>
            <w:vAlign w:val="top"/>
          </w:tcPr>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p>
          <w:p>
            <w:pPr>
              <w:jc w:val="center"/>
              <w:rPr>
                <w:rFonts w:hint="eastAsia" w:ascii="仿宋_GB2312" w:hAnsi="仿宋_GB2312" w:eastAsia="仿宋_GB2312" w:cs="仿宋_GB2312"/>
                <w:i/>
                <w:iCs/>
                <w:sz w:val="21"/>
                <w:szCs w:val="21"/>
                <w:vertAlign w:val="baseline"/>
                <w:lang w:val="en-US" w:eastAsia="zh-CN"/>
              </w:rPr>
            </w:pPr>
            <w:r>
              <w:rPr>
                <w:rFonts w:hint="eastAsia" w:ascii="仿宋_GB2312" w:hAnsi="仿宋_GB2312" w:eastAsia="仿宋_GB2312" w:cs="仿宋_GB2312"/>
                <w:i/>
                <w:iCs/>
                <w:sz w:val="21"/>
                <w:szCs w:val="21"/>
                <w:vertAlign w:val="baseline"/>
                <w:lang w:val="en-US" w:eastAsia="zh-CN"/>
              </w:rPr>
              <w:t>11</w:t>
            </w:r>
          </w:p>
        </w:tc>
        <w:tc>
          <w:tcPr>
            <w:tcW w:w="2665" w:type="dxa"/>
            <w:noWrap w:val="0"/>
            <w:vAlign w:val="top"/>
          </w:tcPr>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特许人未按规定向商务主管部门报告订立合同情况</w:t>
            </w:r>
          </w:p>
        </w:tc>
        <w:tc>
          <w:tcPr>
            <w:tcW w:w="5944" w:type="dxa"/>
            <w:noWrap w:val="0"/>
            <w:vAlign w:val="top"/>
          </w:tcPr>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《商品特许经营管理条例》第十九条 特许人应当在每年第一季度将其上一年度订立特许经营合同的情况向商务主管部门报告。第二十六条 特许人违反本条例第十六条、第十九条规定的，由商务主管部门责令改正，可以处1 万元以下的罚款；情节严重的，处 1 万元以上 5万元以下的罚款，并予以公告。</w:t>
            </w:r>
          </w:p>
        </w:tc>
        <w:tc>
          <w:tcPr>
            <w:tcW w:w="2641" w:type="dxa"/>
            <w:noWrap w:val="0"/>
            <w:vAlign w:val="top"/>
          </w:tcPr>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同时具备以下条件：</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1.初次违法；</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2.主动整改或在行政机</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关责令（限期）改正限</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期内改正，并签署承诺</w:t>
            </w:r>
          </w:p>
          <w:p>
            <w:pPr>
              <w:rPr>
                <w:rFonts w:hint="eastAsia" w:ascii="仿宋" w:hAnsi="仿宋" w:eastAsia="仿宋" w:cs="仿宋"/>
                <w:i/>
                <w:iCs/>
                <w:sz w:val="21"/>
                <w:szCs w:val="21"/>
                <w:vertAlign w:val="baseline"/>
              </w:rPr>
            </w:pPr>
            <w:r>
              <w:rPr>
                <w:rFonts w:hint="eastAsia" w:ascii="仿宋" w:hAnsi="仿宋" w:eastAsia="仿宋" w:cs="仿宋"/>
                <w:i/>
                <w:iCs/>
                <w:sz w:val="21"/>
                <w:szCs w:val="21"/>
                <w:vertAlign w:val="baseline"/>
              </w:rPr>
              <w:t>书。</w:t>
            </w:r>
          </w:p>
        </w:tc>
        <w:tc>
          <w:tcPr>
            <w:tcW w:w="2039" w:type="dxa"/>
            <w:noWrap w:val="0"/>
            <w:vAlign w:val="top"/>
          </w:tcPr>
          <w:p>
            <w:pPr>
              <w:rPr>
                <w:rFonts w:hint="eastAsia" w:ascii="仿宋" w:hAnsi="仿宋" w:eastAsia="仿宋" w:cs="仿宋"/>
                <w:i/>
                <w:iCs/>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8" w:hRule="atLeast"/>
        </w:trPr>
        <w:tc>
          <w:tcPr>
            <w:tcW w:w="743" w:type="dxa"/>
            <w:noWrap w:val="0"/>
            <w:vAlign w:val="top"/>
          </w:tcPr>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p>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12</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未按要求向备案机关报告其上一年度订立、撤销、终止、续签的特许经营合同情况</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《商品特许经营备案管理办法》第九条 特许人应当在每年3月31日前将其上一年度订立、撤销、终止、续签的特许经营合同情况向备案机关报告。第十七条 特许人违反本办法第九条规定的，由设区的市级以上商务主管部门责令改正，可以处1 万元以下的罚款；情节严重的，处 1 万元以上 5万元以下的罚款，并予以公告。</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1" w:hRule="atLeast"/>
        </w:trPr>
        <w:tc>
          <w:tcPr>
            <w:tcW w:w="743" w:type="dxa"/>
            <w:noWrap w:val="0"/>
            <w:vAlign w:val="top"/>
          </w:tcPr>
          <w:p>
            <w:pPr>
              <w:rPr>
                <w:rFonts w:hint="eastAsia" w:ascii="仿宋_GB2312" w:hAnsi="仿宋_GB2312" w:eastAsia="仿宋_GB2312" w:cs="仿宋_GB2312"/>
                <w:sz w:val="21"/>
                <w:szCs w:val="21"/>
                <w:vertAlign w:val="baseline"/>
                <w:lang w:val="en-US" w:eastAsia="zh-CN"/>
              </w:rPr>
            </w:pPr>
          </w:p>
          <w:p>
            <w:pPr>
              <w:rPr>
                <w:rFonts w:hint="eastAsia" w:ascii="仿宋_GB2312" w:hAnsi="仿宋_GB2312" w:eastAsia="仿宋_GB2312" w:cs="仿宋_GB2312"/>
                <w:sz w:val="21"/>
                <w:szCs w:val="21"/>
                <w:vertAlign w:val="baseline"/>
                <w:lang w:val="en-US" w:eastAsia="zh-CN"/>
              </w:rPr>
            </w:pPr>
          </w:p>
          <w:p>
            <w:pPr>
              <w:rPr>
                <w:rFonts w:hint="eastAsia" w:ascii="仿宋_GB2312" w:hAnsi="仿宋_GB2312" w:eastAsia="仿宋_GB2312" w:cs="仿宋_GB2312"/>
                <w:sz w:val="21"/>
                <w:szCs w:val="21"/>
                <w:vertAlign w:val="baseline"/>
                <w:lang w:val="en-US" w:eastAsia="zh-CN"/>
              </w:rPr>
            </w:pPr>
          </w:p>
          <w:p>
            <w:pPr>
              <w:rPr>
                <w:rFonts w:hint="eastAsia" w:ascii="仿宋_GB2312" w:hAnsi="仿宋_GB2312" w:eastAsia="仿宋_GB2312" w:cs="仿宋_GB2312"/>
                <w:sz w:val="21"/>
                <w:szCs w:val="21"/>
                <w:vertAlign w:val="baseline"/>
                <w:lang w:val="en-US" w:eastAsia="zh-CN"/>
              </w:rPr>
            </w:pPr>
          </w:p>
          <w:p>
            <w:pPr>
              <w:rPr>
                <w:rFonts w:hint="eastAsia" w:ascii="仿宋_GB2312" w:hAnsi="仿宋_GB2312" w:eastAsia="仿宋_GB2312" w:cs="仿宋_GB2312"/>
                <w:sz w:val="21"/>
                <w:szCs w:val="21"/>
                <w:vertAlign w:val="baseline"/>
                <w:lang w:val="en-US" w:eastAsia="zh-CN"/>
              </w:rPr>
            </w:pPr>
          </w:p>
          <w:p>
            <w:p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 xml:space="preserve"> 13</w:t>
            </w:r>
          </w:p>
        </w:tc>
        <w:tc>
          <w:tcPr>
            <w:tcW w:w="2665"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招标人对依法必须进行招标的项目不招标或化整为零以及以其他任何方式规避国际招标</w:t>
            </w:r>
          </w:p>
        </w:tc>
        <w:tc>
          <w:tcPr>
            <w:tcW w:w="5944"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《机电产品国际招标投标实施办法（试行）》 第九十三条 招标人对依法必须进行招标的项目不招标或化整为零以及以其他任何方式规避国际招标的，由相应主管部门责令限期改正，可以处项目合同金额 0.5%以上 1%以下的罚款；对全部或者部分使用国有资金的项目，可以通告项目主管机构暂停项目执行或者暂停资金拨付；对单位直接负责的主管人员和其他直接责任人员依法给予处分。</w:t>
            </w:r>
          </w:p>
        </w:tc>
        <w:tc>
          <w:tcPr>
            <w:tcW w:w="2641" w:type="dxa"/>
            <w:noWrap w:val="0"/>
            <w:vAlign w:val="top"/>
          </w:tcPr>
          <w:p>
            <w:pPr>
              <w:rPr>
                <w:rFonts w:hint="eastAsia" w:ascii="仿宋" w:hAnsi="仿宋" w:eastAsia="仿宋" w:cs="仿宋"/>
                <w:sz w:val="21"/>
                <w:szCs w:val="21"/>
                <w:vertAlign w:val="baseline"/>
              </w:rPr>
            </w:pP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同时具备以下条件：</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1.初次违法；</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2.涉案金额 20 万元以</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下且未执行项目或者拨</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付资金的；</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3.主动整改或在行政机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关责令（限期）改正限</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期内改正，并签署承诺</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书。</w:t>
            </w:r>
          </w:p>
        </w:tc>
        <w:tc>
          <w:tcPr>
            <w:tcW w:w="2039" w:type="dxa"/>
            <w:noWrap w:val="0"/>
            <w:vAlign w:val="top"/>
          </w:tcPr>
          <w:p>
            <w:pPr>
              <w:rPr>
                <w:rFonts w:hint="eastAsia" w:ascii="仿宋" w:hAnsi="仿宋" w:eastAsia="仿宋" w:cs="仿宋"/>
                <w:sz w:val="21"/>
                <w:szCs w:val="21"/>
                <w:vertAlign w:val="baseline"/>
              </w:rPr>
            </w:pPr>
          </w:p>
        </w:tc>
      </w:tr>
    </w:tbl>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jc w:val="both"/>
        <w:rPr>
          <w:rFonts w:hint="eastAsia" w:ascii="黑体" w:hAnsi="黑体" w:eastAsia="黑体" w:cs="黑体"/>
          <w:color w:val="000000"/>
          <w:kern w:val="0"/>
          <w:sz w:val="32"/>
          <w:szCs w:val="32"/>
          <w:lang w:bidi="ar"/>
        </w:rPr>
        <w:sectPr>
          <w:pgSz w:w="16838" w:h="11906" w:orient="landscape"/>
          <w:pgMar w:top="1803" w:right="1440" w:bottom="1803" w:left="1440" w:header="851" w:footer="992" w:gutter="0"/>
          <w:cols w:space="720" w:num="1"/>
          <w:rtlGutter w:val="0"/>
          <w:docGrid w:type="lines" w:linePitch="319" w:charSpace="0"/>
        </w:sectPr>
      </w:pPr>
    </w:p>
    <w:p>
      <w:pPr>
        <w:jc w:val="both"/>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bidi="ar"/>
        </w:rPr>
        <w:t>附件</w:t>
      </w:r>
      <w:r>
        <w:rPr>
          <w:rFonts w:hint="eastAsia" w:ascii="黑体" w:hAnsi="黑体" w:eastAsia="黑体" w:cs="黑体"/>
          <w:color w:val="000000"/>
          <w:kern w:val="0"/>
          <w:sz w:val="32"/>
          <w:szCs w:val="32"/>
          <w:lang w:val="en-US" w:eastAsia="zh-CN" w:bidi="ar"/>
        </w:rPr>
        <w:t>2</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承诺书（参考样式）</w:t>
      </w:r>
    </w:p>
    <w:p>
      <w:pPr>
        <w:spacing w:line="360" w:lineRule="auto"/>
        <w:jc w:val="center"/>
        <w:rPr>
          <w:rFonts w:hint="eastAsia" w:ascii="仿宋" w:hAnsi="仿宋" w:eastAsia="仿宋" w:cs="仿宋"/>
          <w:b/>
          <w:sz w:val="32"/>
          <w:szCs w:val="32"/>
        </w:rPr>
      </w:pPr>
      <w:r>
        <w:rPr>
          <w:rFonts w:hint="eastAsia" w:ascii="仿宋_GB2312" w:hAnsi="仿宋" w:eastAsia="仿宋_GB2312"/>
          <w:b/>
          <w:sz w:val="32"/>
          <w:szCs w:val="32"/>
        </w:rPr>
        <w:t xml:space="preserve"> </w:t>
      </w:r>
      <w:r>
        <w:rPr>
          <w:rFonts w:hint="eastAsia" w:ascii="仿宋_GB2312" w:hAnsi="仿宋" w:eastAsia="仿宋_GB2312"/>
          <w:b/>
          <w:sz w:val="32"/>
          <w:szCs w:val="32"/>
          <w:lang w:val="en-US" w:eastAsia="zh-CN"/>
        </w:rPr>
        <w:t xml:space="preserve">                            </w:t>
      </w:r>
      <w:r>
        <w:rPr>
          <w:rFonts w:hint="eastAsia" w:ascii="仿宋" w:hAnsi="仿宋" w:eastAsia="仿宋" w:cs="仿宋"/>
          <w:sz w:val="32"/>
          <w:szCs w:val="32"/>
          <w:lang w:val="en-US" w:eastAsia="zh-CN"/>
        </w:rPr>
        <w:t>编号：</w:t>
      </w:r>
    </w:p>
    <w:p>
      <w:pPr>
        <w:spacing w:line="360" w:lineRule="auto"/>
        <w:jc w:val="left"/>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w:t>
      </w:r>
    </w:p>
    <w:p>
      <w:pPr>
        <w:spacing w:line="360" w:lineRule="auto"/>
        <w:ind w:firstLine="640"/>
        <w:jc w:val="left"/>
        <w:rPr>
          <w:rFonts w:hint="eastAsia" w:ascii="仿宋" w:hAnsi="仿宋" w:eastAsia="仿宋" w:cs="仿宋"/>
          <w:sz w:val="32"/>
          <w:szCs w:val="32"/>
          <w:u w:val="single"/>
        </w:rPr>
      </w:pPr>
      <w:r>
        <w:rPr>
          <w:rFonts w:hint="eastAsia" w:ascii="仿宋" w:hAnsi="仿宋" w:eastAsia="仿宋" w:cs="仿宋"/>
          <w:sz w:val="32"/>
          <w:szCs w:val="32"/>
        </w:rPr>
        <w:t>你</w:t>
      </w:r>
      <w:r>
        <w:rPr>
          <w:rFonts w:hint="eastAsia" w:ascii="仿宋" w:hAnsi="仿宋" w:eastAsia="仿宋" w:cs="仿宋"/>
          <w:sz w:val="32"/>
          <w:szCs w:val="32"/>
          <w:lang w:eastAsia="zh-CN"/>
        </w:rPr>
        <w:t>单位</w:t>
      </w:r>
      <w:r>
        <w:rPr>
          <w:rFonts w:hint="eastAsia" w:ascii="仿宋" w:hAnsi="仿宋" w:eastAsia="仿宋" w:cs="仿宋"/>
          <w:sz w:val="32"/>
          <w:szCs w:val="32"/>
        </w:rPr>
        <w:t>执法人员</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eastAsia="zh-CN"/>
        </w:rPr>
        <w:t>、</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在</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日的监督检查中发现我（单位</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）存在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spacing w:line="360" w:lineRule="auto"/>
        <w:jc w:val="left"/>
        <w:rPr>
          <w:rFonts w:hint="eastAsia" w:ascii="仿宋" w:hAnsi="仿宋" w:eastAsia="仿宋" w:cs="仿宋"/>
          <w:sz w:val="32"/>
          <w:szCs w:val="32"/>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违法行为，</w:t>
      </w:r>
      <w:r>
        <w:rPr>
          <w:rFonts w:hint="eastAsia" w:ascii="仿宋" w:hAnsi="仿宋" w:eastAsia="仿宋" w:cs="仿宋"/>
          <w:sz w:val="32"/>
          <w:szCs w:val="32"/>
        </w:rPr>
        <w:t>执法人员已向我（单位）进行了相关告知和</w:t>
      </w:r>
      <w:r>
        <w:rPr>
          <w:rFonts w:hint="eastAsia" w:ascii="仿宋" w:hAnsi="仿宋" w:eastAsia="仿宋" w:cs="仿宋"/>
          <w:b w:val="0"/>
          <w:bCs w:val="0"/>
          <w:sz w:val="32"/>
          <w:szCs w:val="32"/>
          <w:lang w:val="en-US" w:eastAsia="zh-CN"/>
        </w:rPr>
        <w:t>批评</w:t>
      </w:r>
      <w:r>
        <w:rPr>
          <w:rFonts w:hint="eastAsia" w:ascii="仿宋" w:hAnsi="仿宋" w:eastAsia="仿宋" w:cs="仿宋"/>
          <w:sz w:val="32"/>
          <w:szCs w:val="32"/>
        </w:rPr>
        <w:t>教育，并要求我（单位）予以</w:t>
      </w:r>
      <w:r>
        <w:rPr>
          <w:rFonts w:hint="eastAsia" w:ascii="仿宋" w:hAnsi="仿宋" w:eastAsia="仿宋" w:cs="仿宋"/>
          <w:sz w:val="32"/>
          <w:szCs w:val="32"/>
          <w:lang w:eastAsia="zh-CN"/>
        </w:rPr>
        <w:t>改</w:t>
      </w:r>
      <w:r>
        <w:rPr>
          <w:rFonts w:hint="eastAsia" w:ascii="仿宋" w:hAnsi="仿宋" w:eastAsia="仿宋" w:cs="仿宋"/>
          <w:sz w:val="32"/>
          <w:szCs w:val="32"/>
        </w:rPr>
        <w:t>正。</w:t>
      </w:r>
    </w:p>
    <w:p>
      <w:pPr>
        <w:spacing w:line="360" w:lineRule="auto"/>
        <w:ind w:firstLine="640"/>
        <w:jc w:val="left"/>
        <w:rPr>
          <w:rFonts w:hint="eastAsia" w:ascii="仿宋" w:hAnsi="仿宋" w:eastAsia="仿宋" w:cs="仿宋"/>
          <w:sz w:val="32"/>
          <w:szCs w:val="32"/>
        </w:rPr>
      </w:pPr>
      <w:r>
        <w:rPr>
          <w:rFonts w:hint="eastAsia" w:ascii="仿宋" w:hAnsi="仿宋" w:eastAsia="仿宋" w:cs="仿宋"/>
          <w:sz w:val="32"/>
          <w:szCs w:val="32"/>
        </w:rPr>
        <w:t>我（单位）对以上情况确认无误，并自愿承诺：</w:t>
      </w:r>
    </w:p>
    <w:p>
      <w:pPr>
        <w:spacing w:line="360" w:lineRule="auto"/>
        <w:ind w:firstLine="640"/>
        <w:jc w:val="left"/>
        <w:rPr>
          <w:rFonts w:hint="eastAsia" w:ascii="仿宋" w:hAnsi="仿宋" w:eastAsia="仿宋" w:cs="仿宋"/>
          <w:sz w:val="32"/>
          <w:szCs w:val="32"/>
        </w:rPr>
      </w:pPr>
      <w:r>
        <w:rPr>
          <w:rFonts w:hint="eastAsia" w:ascii="仿宋" w:hAnsi="仿宋" w:eastAsia="仿宋" w:cs="仿宋"/>
          <w:sz w:val="32"/>
          <w:szCs w:val="32"/>
        </w:rPr>
        <w:t>□1、立即予以</w:t>
      </w:r>
      <w:r>
        <w:rPr>
          <w:rFonts w:hint="eastAsia" w:ascii="仿宋" w:hAnsi="仿宋" w:eastAsia="仿宋" w:cs="仿宋"/>
          <w:sz w:val="32"/>
          <w:szCs w:val="32"/>
          <w:lang w:eastAsia="zh-CN"/>
        </w:rPr>
        <w:t>改</w:t>
      </w:r>
      <w:r>
        <w:rPr>
          <w:rFonts w:hint="eastAsia" w:ascii="仿宋" w:hAnsi="仿宋" w:eastAsia="仿宋" w:cs="仿宋"/>
          <w:sz w:val="32"/>
          <w:szCs w:val="32"/>
        </w:rPr>
        <w:t>正；</w:t>
      </w:r>
    </w:p>
    <w:p>
      <w:pPr>
        <w:spacing w:line="360" w:lineRule="auto"/>
        <w:ind w:firstLine="640"/>
        <w:jc w:val="left"/>
        <w:rPr>
          <w:rFonts w:hint="eastAsia" w:ascii="仿宋" w:hAnsi="仿宋" w:eastAsia="仿宋" w:cs="仿宋"/>
          <w:sz w:val="32"/>
          <w:szCs w:val="32"/>
        </w:rPr>
      </w:pPr>
      <w:r>
        <w:rPr>
          <w:rFonts w:hint="eastAsia" w:ascii="仿宋" w:hAnsi="仿宋" w:eastAsia="仿宋" w:cs="仿宋"/>
          <w:sz w:val="32"/>
          <w:szCs w:val="32"/>
        </w:rPr>
        <w:t>□2、在</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日前</w:t>
      </w:r>
      <w:r>
        <w:rPr>
          <w:rFonts w:hint="eastAsia" w:ascii="仿宋" w:hAnsi="仿宋" w:eastAsia="仿宋" w:cs="仿宋"/>
          <w:sz w:val="32"/>
          <w:szCs w:val="32"/>
          <w:lang w:eastAsia="zh-CN"/>
        </w:rPr>
        <w:t>改</w:t>
      </w:r>
      <w:r>
        <w:rPr>
          <w:rFonts w:hint="eastAsia" w:ascii="仿宋" w:hAnsi="仿宋" w:eastAsia="仿宋" w:cs="仿宋"/>
          <w:sz w:val="32"/>
          <w:szCs w:val="32"/>
        </w:rPr>
        <w:t>正,并将整改情况说明及相关证明材料送达你</w:t>
      </w:r>
      <w:r>
        <w:rPr>
          <w:rFonts w:hint="eastAsia" w:ascii="仿宋" w:hAnsi="仿宋" w:eastAsia="仿宋" w:cs="仿宋"/>
          <w:sz w:val="32"/>
          <w:szCs w:val="32"/>
          <w:lang w:eastAsia="zh-CN"/>
        </w:rPr>
        <w:t>单位</w:t>
      </w:r>
      <w:r>
        <w:rPr>
          <w:rFonts w:hint="eastAsia" w:ascii="仿宋" w:hAnsi="仿宋" w:eastAsia="仿宋" w:cs="仿宋"/>
          <w:sz w:val="32"/>
          <w:szCs w:val="32"/>
        </w:rPr>
        <w:t>。</w:t>
      </w:r>
    </w:p>
    <w:p>
      <w:pPr>
        <w:spacing w:line="360" w:lineRule="auto"/>
        <w:ind w:firstLine="600"/>
        <w:jc w:val="left"/>
        <w:rPr>
          <w:rFonts w:hint="eastAsia" w:ascii="仿宋" w:hAnsi="仿宋" w:eastAsia="仿宋" w:cs="仿宋"/>
          <w:sz w:val="32"/>
          <w:szCs w:val="32"/>
        </w:rPr>
      </w:pPr>
      <w:r>
        <w:rPr>
          <w:rFonts w:hint="eastAsia" w:ascii="仿宋" w:hAnsi="仿宋" w:eastAsia="仿宋" w:cs="仿宋"/>
          <w:sz w:val="32"/>
          <w:szCs w:val="32"/>
        </w:rPr>
        <w:t>若我（单位）未履行上述承诺，愿依法承担相应的法律责任。</w:t>
      </w:r>
    </w:p>
    <w:p>
      <w:pPr>
        <w:spacing w:line="360" w:lineRule="auto"/>
        <w:ind w:firstLine="600"/>
        <w:jc w:val="left"/>
        <w:rPr>
          <w:rFonts w:hint="eastAsia" w:ascii="仿宋" w:hAnsi="仿宋" w:eastAsia="仿宋" w:cs="仿宋"/>
          <w:sz w:val="32"/>
          <w:szCs w:val="32"/>
        </w:rPr>
      </w:pPr>
    </w:p>
    <w:p>
      <w:pPr>
        <w:wordWrap w:val="0"/>
        <w:spacing w:line="360" w:lineRule="auto"/>
        <w:jc w:val="right"/>
        <w:rPr>
          <w:rFonts w:hint="eastAsia" w:ascii="仿宋" w:hAnsi="仿宋" w:eastAsia="仿宋" w:cs="仿宋"/>
          <w:sz w:val="32"/>
          <w:szCs w:val="32"/>
          <w:lang w:val="en-US" w:eastAsia="zh-CN"/>
        </w:rPr>
      </w:pPr>
      <w:r>
        <w:rPr>
          <w:rFonts w:hint="eastAsia" w:ascii="仿宋" w:hAnsi="仿宋" w:eastAsia="仿宋" w:cs="仿宋"/>
          <w:sz w:val="32"/>
          <w:szCs w:val="32"/>
        </w:rPr>
        <w:t>承诺人签名或盖章：</w:t>
      </w:r>
      <w:r>
        <w:rPr>
          <w:rFonts w:hint="eastAsia" w:ascii="仿宋" w:hAnsi="仿宋" w:eastAsia="仿宋" w:cs="仿宋"/>
          <w:sz w:val="32"/>
          <w:szCs w:val="32"/>
          <w:lang w:val="en-US" w:eastAsia="zh-CN"/>
        </w:rPr>
        <w:t xml:space="preserve">                </w:t>
      </w:r>
    </w:p>
    <w:p>
      <w:pPr>
        <w:wordWrap w:val="0"/>
        <w:spacing w:line="360" w:lineRule="auto"/>
        <w:jc w:val="right"/>
        <w:rPr>
          <w:rFonts w:hint="eastAsia" w:ascii="仿宋" w:hAnsi="仿宋" w:eastAsia="仿宋" w:cs="仿宋"/>
          <w:sz w:val="32"/>
          <w:szCs w:val="32"/>
          <w:lang w:val="en-US" w:eastAsia="zh-CN"/>
        </w:rPr>
      </w:pPr>
      <w:r>
        <w:rPr>
          <w:rFonts w:hint="eastAsia" w:ascii="仿宋" w:hAnsi="仿宋" w:eastAsia="仿宋" w:cs="仿宋"/>
          <w:sz w:val="32"/>
          <w:szCs w:val="32"/>
        </w:rPr>
        <w:t>年   月   日</w:t>
      </w:r>
      <w:r>
        <w:rPr>
          <w:rFonts w:hint="eastAsia" w:ascii="仿宋" w:hAnsi="仿宋" w:eastAsia="仿宋" w:cs="仿宋"/>
          <w:sz w:val="32"/>
          <w:szCs w:val="32"/>
          <w:lang w:val="en-US" w:eastAsia="zh-CN"/>
        </w:rPr>
        <w:t xml:space="preserve">     </w:t>
      </w:r>
    </w:p>
    <w:p>
      <w:pPr>
        <w:spacing w:line="360" w:lineRule="auto"/>
        <w:jc w:val="left"/>
        <w:rPr>
          <w:rFonts w:hint="eastAsia" w:ascii="仿宋" w:hAnsi="仿宋" w:eastAsia="仿宋" w:cs="仿宋"/>
          <w:sz w:val="32"/>
          <w:szCs w:val="32"/>
        </w:rPr>
      </w:pPr>
    </w:p>
    <w:p>
      <w:pPr>
        <w:spacing w:line="360" w:lineRule="auto"/>
        <w:jc w:val="left"/>
        <w:rPr>
          <w:rFonts w:hint="eastAsia" w:ascii="仿宋" w:hAnsi="仿宋" w:eastAsia="仿宋" w:cs="仿宋"/>
          <w:sz w:val="32"/>
          <w:szCs w:val="32"/>
          <w:lang w:eastAsia="zh-CN"/>
        </w:rPr>
      </w:pPr>
      <w:r>
        <w:rPr>
          <w:rFonts w:hint="eastAsia" w:ascii="仿宋" w:hAnsi="仿宋" w:eastAsia="仿宋" w:cs="仿宋"/>
          <w:sz w:val="32"/>
          <w:szCs w:val="32"/>
        </w:rPr>
        <w:t xml:space="preserve">    附：</w:t>
      </w:r>
      <w:r>
        <w:rPr>
          <w:rFonts w:hint="eastAsia" w:ascii="仿宋" w:hAnsi="仿宋" w:eastAsia="仿宋" w:cs="仿宋"/>
          <w:sz w:val="32"/>
          <w:szCs w:val="32"/>
          <w:lang w:eastAsia="zh-CN"/>
        </w:rPr>
        <w:t>当事人身份证（</w:t>
      </w:r>
      <w:r>
        <w:rPr>
          <w:rFonts w:hint="eastAsia" w:ascii="仿宋" w:hAnsi="仿宋" w:eastAsia="仿宋" w:cs="仿宋"/>
          <w:sz w:val="32"/>
          <w:szCs w:val="32"/>
        </w:rPr>
        <w:t>营业执照</w:t>
      </w:r>
      <w:r>
        <w:rPr>
          <w:rFonts w:hint="eastAsia" w:ascii="仿宋" w:hAnsi="仿宋" w:eastAsia="仿宋" w:cs="仿宋"/>
          <w:sz w:val="32"/>
          <w:szCs w:val="32"/>
          <w:lang w:eastAsia="zh-CN"/>
        </w:rPr>
        <w:t>）</w:t>
      </w:r>
      <w:r>
        <w:rPr>
          <w:rFonts w:hint="eastAsia" w:ascii="仿宋" w:hAnsi="仿宋" w:eastAsia="仿宋" w:cs="仿宋"/>
          <w:sz w:val="32"/>
          <w:szCs w:val="32"/>
        </w:rPr>
        <w:t>复印件</w:t>
      </w:r>
    </w:p>
    <w:p>
      <w:pPr>
        <w:pStyle w:val="3"/>
        <w:keepNext w:val="0"/>
        <w:keepLines w:val="0"/>
        <w:pageBreakBefore w:val="0"/>
        <w:widowControl w:val="0"/>
        <w:kinsoku/>
        <w:wordWrap/>
        <w:overflowPunct/>
        <w:topLinePunct w:val="0"/>
        <w:autoSpaceDE/>
        <w:autoSpaceDN/>
        <w:bidi w:val="0"/>
        <w:adjustRightInd/>
        <w:snapToGrid w:val="0"/>
        <w:spacing w:line="240" w:lineRule="exact"/>
        <w:textAlignment w:val="auto"/>
        <w:outlineLvl w:val="9"/>
        <w:rPr>
          <w:rFonts w:hint="eastAsia" w:ascii="仿宋" w:hAnsi="仿宋" w:eastAsia="仿宋" w:cs="仿宋"/>
          <w:sz w:val="32"/>
          <w:szCs w:val="32"/>
          <w:lang w:eastAsia="zh-CN"/>
        </w:rPr>
      </w:pPr>
    </w:p>
    <w:p>
      <w:pPr>
        <w:ind w:firstLine="640" w:firstLineChars="200"/>
      </w:pPr>
      <w:r>
        <w:rPr>
          <w:rFonts w:hint="eastAsia" w:ascii="仿宋" w:hAnsi="仿宋" w:eastAsia="仿宋" w:cs="仿宋"/>
          <w:sz w:val="32"/>
          <w:szCs w:val="32"/>
          <w:lang w:eastAsia="zh-CN"/>
        </w:rPr>
        <w:t>注：本承诺书一式两份，执法部门和当事人各一份。</w:t>
      </w:r>
    </w:p>
    <w:p>
      <w:pPr>
        <w:rPr>
          <w:rFonts w:hint="eastAsia" w:ascii="仿宋_GB2312" w:hAnsi="仿宋_GB2312" w:eastAsia="仿宋_GB2312" w:cs="仿宋_GB2312"/>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OTliMjQ2MmFjOTg1ZjViZWZmYzY0MmIzNzMxY2QifQ=="/>
  </w:docVars>
  <w:rsids>
    <w:rsidRoot w:val="00000000"/>
    <w:rsid w:val="748E61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footnote text"/>
    <w:basedOn w:val="1"/>
    <w:qFormat/>
    <w:uiPriority w:val="99"/>
    <w:pPr>
      <w:widowControl w:val="0"/>
      <w:snapToGrid w:val="0"/>
      <w:jc w:val="left"/>
    </w:pPr>
    <w:rPr>
      <w:rFonts w:ascii="Calibri" w:hAnsi="Calibri" w:eastAsia="宋体" w:cs="Times New Roman"/>
      <w:kern w:val="2"/>
      <w:sz w:val="18"/>
      <w:szCs w:val="18"/>
      <w:lang w:val="en-US" w:eastAsia="zh-CN"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杰克</cp:lastModifiedBy>
  <dcterms:modified xsi:type="dcterms:W3CDTF">2022-09-15T02:04:41Z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B87DECA4A1134462A12AD4C2352399A1</vt:lpwstr>
  </property>
</Properties>
</file>