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A9" w:rsidRPr="00455FA9" w:rsidRDefault="00455FA9" w:rsidP="00455FA9">
      <w:pPr>
        <w:widowControl/>
        <w:spacing w:before="240" w:after="240" w:line="360" w:lineRule="auto"/>
        <w:jc w:val="center"/>
        <w:rPr>
          <w:rFonts w:ascii="Arial" w:eastAsia="宋体" w:hAnsi="Arial" w:cs="Arial"/>
          <w:color w:val="646464"/>
          <w:kern w:val="0"/>
          <w:sz w:val="18"/>
          <w:szCs w:val="18"/>
        </w:rPr>
      </w:pPr>
      <w:r w:rsidRPr="00455FA9">
        <w:rPr>
          <w:rFonts w:ascii="宋体" w:eastAsia="宋体" w:hAnsi="宋体" w:cs="Arial" w:hint="eastAsia"/>
          <w:b/>
          <w:bCs/>
          <w:color w:val="000000"/>
          <w:kern w:val="0"/>
          <w:sz w:val="36"/>
          <w:szCs w:val="36"/>
          <w:shd w:val="clear" w:color="auto" w:fill="FFFFFF"/>
        </w:rPr>
        <w:t>封丘县国有建设用地使用权出让网上挂牌公告</w:t>
      </w:r>
    </w:p>
    <w:p w:rsidR="00455FA9" w:rsidRPr="00455FA9" w:rsidRDefault="00455FA9" w:rsidP="00455FA9">
      <w:pPr>
        <w:widowControl/>
        <w:spacing w:before="240" w:after="240" w:line="360" w:lineRule="auto"/>
        <w:jc w:val="center"/>
        <w:rPr>
          <w:rFonts w:ascii="Arial" w:eastAsia="宋体" w:hAnsi="Arial" w:cs="Arial"/>
          <w:color w:val="646464"/>
          <w:kern w:val="0"/>
          <w:sz w:val="18"/>
          <w:szCs w:val="18"/>
        </w:rPr>
      </w:pPr>
      <w:r w:rsidRPr="00455FA9">
        <w:rPr>
          <w:rFonts w:ascii="宋体" w:eastAsia="宋体" w:hAnsi="宋体" w:cs="Arial" w:hint="eastAsia"/>
          <w:b/>
          <w:bCs/>
          <w:color w:val="000000"/>
          <w:kern w:val="0"/>
          <w:sz w:val="29"/>
          <w:szCs w:val="29"/>
          <w:shd w:val="clear" w:color="auto" w:fill="FFFFFF"/>
        </w:rPr>
        <w:t>（封丘县网挂告字（2023）31号）</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经封丘县人民政府批准，封丘县自然资源局决定以网上挂牌方式出让以下1（幅）地块的国有建设用地使用权，并指定封丘县自然资源局组织实施。现将有关事项公告如下：</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b/>
          <w:bCs/>
          <w:color w:val="000000"/>
          <w:kern w:val="0"/>
          <w:sz w:val="29"/>
          <w:szCs w:val="29"/>
          <w:shd w:val="clear" w:color="auto" w:fill="FFFFFF"/>
        </w:rPr>
        <w:t>一、挂牌地块的基本情况和规划指标要求</w:t>
      </w:r>
    </w:p>
    <w:tbl>
      <w:tblPr>
        <w:tblW w:w="0" w:type="auto"/>
        <w:tblCellMar>
          <w:top w:w="15" w:type="dxa"/>
          <w:left w:w="15" w:type="dxa"/>
          <w:bottom w:w="15" w:type="dxa"/>
          <w:right w:w="15" w:type="dxa"/>
        </w:tblCellMar>
        <w:tblLook w:val="04A0" w:firstRow="1" w:lastRow="0" w:firstColumn="1" w:lastColumn="0" w:noHBand="0" w:noVBand="1"/>
      </w:tblPr>
      <w:tblGrid>
        <w:gridCol w:w="512"/>
        <w:gridCol w:w="965"/>
        <w:gridCol w:w="964"/>
        <w:gridCol w:w="1622"/>
        <w:gridCol w:w="1835"/>
        <w:gridCol w:w="927"/>
        <w:gridCol w:w="997"/>
        <w:gridCol w:w="1310"/>
        <w:gridCol w:w="1171"/>
        <w:gridCol w:w="684"/>
        <w:gridCol w:w="788"/>
        <w:gridCol w:w="1348"/>
        <w:gridCol w:w="1243"/>
        <w:gridCol w:w="754"/>
      </w:tblGrid>
      <w:tr w:rsidR="00455FA9" w:rsidRPr="00455FA9" w:rsidTr="00455FA9">
        <w:tc>
          <w:tcPr>
            <w:tcW w:w="12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b/>
                <w:bCs/>
                <w:color w:val="646464"/>
                <w:kern w:val="0"/>
                <w:szCs w:val="21"/>
              </w:rPr>
            </w:pPr>
            <w:r w:rsidRPr="00455FA9">
              <w:rPr>
                <w:rFonts w:ascii="宋体" w:eastAsia="宋体" w:hAnsi="宋体" w:cs="Arial" w:hint="eastAsia"/>
                <w:b/>
                <w:bCs/>
                <w:color w:val="646464"/>
                <w:kern w:val="0"/>
                <w:szCs w:val="21"/>
              </w:rPr>
              <w:t>序号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地块编号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地块名称</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土地位置</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土地面积</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土地用途</w:t>
            </w:r>
          </w:p>
        </w:tc>
        <w:tc>
          <w:tcPr>
            <w:tcW w:w="51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容积率</w:t>
            </w:r>
          </w:p>
        </w:tc>
        <w:tc>
          <w:tcPr>
            <w:tcW w:w="93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建筑密度</w:t>
            </w:r>
          </w:p>
        </w:tc>
        <w:tc>
          <w:tcPr>
            <w:tcW w:w="49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绿地率</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出让年限</w:t>
            </w:r>
          </w:p>
        </w:tc>
        <w:tc>
          <w:tcPr>
            <w:tcW w:w="45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有无底价</w:t>
            </w:r>
          </w:p>
        </w:tc>
        <w:tc>
          <w:tcPr>
            <w:tcW w:w="84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起始价</w:t>
            </w:r>
          </w:p>
        </w:tc>
        <w:tc>
          <w:tcPr>
            <w:tcW w:w="88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保证金</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455FA9" w:rsidRPr="00455FA9" w:rsidRDefault="00455FA9" w:rsidP="00455FA9">
            <w:pPr>
              <w:widowControl/>
              <w:spacing w:after="150"/>
              <w:jc w:val="center"/>
              <w:rPr>
                <w:rFonts w:ascii="宋体" w:eastAsia="宋体" w:hAnsi="宋体" w:cs="Arial" w:hint="eastAsia"/>
                <w:b/>
                <w:bCs/>
                <w:color w:val="646464"/>
                <w:kern w:val="0"/>
                <w:szCs w:val="21"/>
              </w:rPr>
            </w:pPr>
            <w:r w:rsidRPr="00455FA9">
              <w:rPr>
                <w:rFonts w:ascii="宋体" w:eastAsia="宋体" w:hAnsi="宋体" w:cs="Arial" w:hint="eastAsia"/>
                <w:b/>
                <w:bCs/>
                <w:color w:val="646464"/>
                <w:kern w:val="0"/>
                <w:szCs w:val="21"/>
              </w:rPr>
              <w:t>竞价增幅</w:t>
            </w:r>
          </w:p>
        </w:tc>
      </w:tr>
      <w:tr w:rsidR="00455FA9" w:rsidRPr="00455FA9" w:rsidTr="00455F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2023-31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2023-31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封丘县居厢镇居厢村</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47336.47（平方米）</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工业用地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1≤容积率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40%≤建筑密度</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绿地率≤20%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50年</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无底价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1230.51万元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246.11万元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455FA9" w:rsidRPr="00455FA9" w:rsidRDefault="00455FA9" w:rsidP="00455FA9">
            <w:pPr>
              <w:widowControl/>
              <w:spacing w:after="150"/>
              <w:jc w:val="left"/>
              <w:rPr>
                <w:rFonts w:ascii="宋体" w:eastAsia="宋体" w:hAnsi="宋体" w:cs="Arial" w:hint="eastAsia"/>
                <w:color w:val="646464"/>
                <w:kern w:val="0"/>
                <w:szCs w:val="21"/>
              </w:rPr>
            </w:pPr>
            <w:r w:rsidRPr="00455FA9">
              <w:rPr>
                <w:rFonts w:ascii="宋体" w:eastAsia="宋体" w:hAnsi="宋体" w:cs="Arial" w:hint="eastAsia"/>
                <w:color w:val="646464"/>
                <w:kern w:val="0"/>
                <w:szCs w:val="21"/>
              </w:rPr>
              <w:t>1万元</w:t>
            </w:r>
          </w:p>
        </w:tc>
      </w:tr>
    </w:tbl>
    <w:p w:rsidR="00455FA9" w:rsidRPr="00455FA9" w:rsidRDefault="00455FA9" w:rsidP="00455FA9">
      <w:pPr>
        <w:widowControl/>
        <w:spacing w:before="100" w:beforeAutospacing="1" w:after="100" w:afterAutospacing="1"/>
        <w:jc w:val="left"/>
        <w:rPr>
          <w:rFonts w:ascii="Arial" w:eastAsia="宋体" w:hAnsi="Arial" w:cs="Arial" w:hint="eastAsia"/>
          <w:color w:val="646464"/>
          <w:kern w:val="0"/>
          <w:sz w:val="18"/>
          <w:szCs w:val="18"/>
        </w:rPr>
      </w:pPr>
      <w:r w:rsidRPr="00455FA9">
        <w:rPr>
          <w:rFonts w:ascii="Arial" w:eastAsia="宋体" w:hAnsi="Arial" w:cs="Arial"/>
          <w:color w:val="646464"/>
          <w:kern w:val="0"/>
          <w:sz w:val="18"/>
          <w:szCs w:val="18"/>
        </w:rPr>
        <w:t> </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b/>
          <w:bCs/>
          <w:color w:val="000000"/>
          <w:kern w:val="0"/>
          <w:sz w:val="29"/>
          <w:szCs w:val="29"/>
          <w:shd w:val="clear" w:color="auto" w:fill="FFFFFF"/>
        </w:rPr>
        <w:t>具体以规划部门出具的规划指标为准，详见《规划条件通知书》。</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b/>
          <w:bCs/>
          <w:color w:val="000000"/>
          <w:kern w:val="0"/>
          <w:sz w:val="29"/>
          <w:szCs w:val="29"/>
          <w:shd w:val="clear" w:color="auto" w:fill="FFFFFF"/>
        </w:rPr>
        <w:t>二、竞买申请条件和要求</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lastRenderedPageBreak/>
        <w:t>中华人民共和国境内外的法人、自然人和其他组织，符合网上出让公告或出让须知中明确的资格条件，均可参加本次国有建设用地使用权网上挂牌活动。</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b/>
          <w:bCs/>
          <w:color w:val="000000"/>
          <w:kern w:val="0"/>
          <w:sz w:val="29"/>
          <w:szCs w:val="29"/>
          <w:shd w:val="clear" w:color="auto" w:fill="FFFFFF"/>
        </w:rPr>
        <w:t>三、确定竞得入选人方式</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本次国有建设用地使用权网上挂牌出让按照价高者得原则确定竞得入选人。</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（1）地块如果未设底价的，报价最高者即为竞得入选人。</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（2）地块如果设有底价的，报价最高且不低于底价者即为竞得入选人。</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b/>
          <w:bCs/>
          <w:color w:val="000000"/>
          <w:kern w:val="0"/>
          <w:sz w:val="29"/>
          <w:szCs w:val="29"/>
          <w:shd w:val="clear" w:color="auto" w:fill="FFFFFF"/>
        </w:rPr>
        <w:t>四、报名及保证金截止时间</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竞买申请人可在2023年08月28日 09时00分至2023年09月04日 17时00分登录河南省土地使用权网上交易系统，提交申请。竞买保证金到账截止时间为</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2023年09月04日 17时00分（地块编号：2023-31）。</w:t>
      </w:r>
      <w:r w:rsidRPr="00455FA9">
        <w:rPr>
          <w:rFonts w:ascii="宋体" w:eastAsia="宋体" w:hAnsi="宋体" w:cs="Arial" w:hint="eastAsia"/>
          <w:color w:val="000000"/>
          <w:kern w:val="0"/>
          <w:sz w:val="29"/>
          <w:szCs w:val="29"/>
          <w:shd w:val="clear" w:color="auto" w:fill="FFFFFF"/>
        </w:rPr>
        <w:br/>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b/>
          <w:bCs/>
          <w:color w:val="000000"/>
          <w:kern w:val="0"/>
          <w:sz w:val="29"/>
          <w:szCs w:val="29"/>
          <w:shd w:val="clear" w:color="auto" w:fill="FFFFFF"/>
        </w:rPr>
        <w:t>温馨提示：为避免因竞买保证金到账时间延误，影响您顺利获取网上交易竞买资格，建议您在保证金到账截止时间的1至2天之前交纳竞买保证金。</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b/>
          <w:bCs/>
          <w:color w:val="000000"/>
          <w:kern w:val="0"/>
          <w:sz w:val="29"/>
          <w:szCs w:val="29"/>
          <w:shd w:val="clear" w:color="auto" w:fill="FFFFFF"/>
        </w:rPr>
        <w:lastRenderedPageBreak/>
        <w:t>五、挂牌时间及网址</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挂牌报价时间为：</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rPr>
        <w:t>2023-31地块： 2023年08月28日 09时00分00秒至2023年09月06日 09时00分00秒。</w:t>
      </w:r>
      <w:r w:rsidRPr="00455FA9">
        <w:rPr>
          <w:rFonts w:ascii="宋体" w:eastAsia="宋体" w:hAnsi="宋体" w:cs="Arial" w:hint="eastAsia"/>
          <w:color w:val="000000"/>
          <w:kern w:val="0"/>
          <w:sz w:val="29"/>
          <w:szCs w:val="29"/>
        </w:rPr>
        <w:br/>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挂牌网址：http://td.hnggzy.com。</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b/>
          <w:bCs/>
          <w:color w:val="000000"/>
          <w:kern w:val="0"/>
          <w:sz w:val="29"/>
          <w:szCs w:val="29"/>
          <w:shd w:val="clear" w:color="auto" w:fill="FFFFFF"/>
        </w:rPr>
        <w:t>六、出让资料获取方式</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本次挂牌出让的详细资料和具体要求，见挂牌出让须知及其他出让文件。挂牌出让须知及其他出让文件可从网上交易系统查看和打印。</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b/>
          <w:bCs/>
          <w:color w:val="000000"/>
          <w:kern w:val="0"/>
          <w:sz w:val="29"/>
          <w:szCs w:val="29"/>
          <w:shd w:val="clear" w:color="auto" w:fill="FFFFFF"/>
        </w:rPr>
        <w:t>七、资格审查</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b/>
          <w:bCs/>
          <w:color w:val="000000"/>
          <w:kern w:val="0"/>
          <w:sz w:val="29"/>
          <w:szCs w:val="29"/>
          <w:shd w:val="clear" w:color="auto" w:fill="FFFFFF"/>
        </w:rPr>
        <w:lastRenderedPageBreak/>
        <w:t>八、风险提示</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竞买人应该谨慎报价，报价一经提交，不得修改或者撤回。网上挂牌报价截止之前，竞买人至少进行一次有效报价才有资格参加限时竞价。</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操作系统请使用Win7、Win8、Win10；浏览器请使用IE10以上版本，其它操作系统与浏览器可能会影响您正常参与网上交易活动。数字证书驱动请到交易系统“服务指南-资料下载”中下载，并正确安装。请竞买人在竞买前仔细检查好自己电脑的运行环境，并先到网上交易模拟系统练习，以免影响您的报价、竞价。</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特此公告</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联系电话：0373-8280525</w:t>
      </w:r>
    </w:p>
    <w:p w:rsidR="00455FA9" w:rsidRPr="00455FA9" w:rsidRDefault="00455FA9" w:rsidP="00455FA9">
      <w:pPr>
        <w:widowControl/>
        <w:spacing w:before="240" w:after="240" w:line="360" w:lineRule="auto"/>
        <w:ind w:firstLine="540"/>
        <w:jc w:val="lef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联系人： 陈 鹏</w:t>
      </w:r>
    </w:p>
    <w:p w:rsidR="00455FA9" w:rsidRPr="00455FA9" w:rsidRDefault="00455FA9" w:rsidP="00455FA9">
      <w:pPr>
        <w:widowControl/>
        <w:spacing w:before="240" w:after="240" w:line="360" w:lineRule="auto"/>
        <w:jc w:val="righ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封丘县自然资源局</w:t>
      </w:r>
    </w:p>
    <w:p w:rsidR="00455FA9" w:rsidRPr="00455FA9" w:rsidRDefault="00455FA9" w:rsidP="00455FA9">
      <w:pPr>
        <w:widowControl/>
        <w:spacing w:before="240" w:after="240" w:line="360" w:lineRule="auto"/>
        <w:jc w:val="right"/>
        <w:rPr>
          <w:rFonts w:ascii="Arial" w:eastAsia="宋体" w:hAnsi="Arial" w:cs="Arial"/>
          <w:color w:val="646464"/>
          <w:kern w:val="0"/>
          <w:sz w:val="18"/>
          <w:szCs w:val="18"/>
        </w:rPr>
      </w:pPr>
      <w:r w:rsidRPr="00455FA9">
        <w:rPr>
          <w:rFonts w:ascii="宋体" w:eastAsia="宋体" w:hAnsi="宋体" w:cs="Arial" w:hint="eastAsia"/>
          <w:color w:val="000000"/>
          <w:kern w:val="0"/>
          <w:sz w:val="29"/>
          <w:szCs w:val="29"/>
          <w:shd w:val="clear" w:color="auto" w:fill="FFFFFF"/>
        </w:rPr>
        <w:t>2023年08月07日</w:t>
      </w:r>
    </w:p>
    <w:p w:rsidR="00455FA9" w:rsidRPr="00455FA9" w:rsidRDefault="00455FA9" w:rsidP="00455FA9">
      <w:pPr>
        <w:widowControl/>
        <w:spacing w:before="100" w:beforeAutospacing="1" w:after="100" w:afterAutospacing="1" w:line="360" w:lineRule="auto"/>
        <w:jc w:val="left"/>
        <w:rPr>
          <w:rFonts w:ascii="Arial" w:eastAsia="宋体" w:hAnsi="Arial" w:cs="Arial"/>
          <w:color w:val="646464"/>
          <w:kern w:val="0"/>
          <w:sz w:val="18"/>
          <w:szCs w:val="18"/>
        </w:rPr>
      </w:pPr>
      <w:r w:rsidRPr="00455FA9">
        <w:rPr>
          <w:rFonts w:ascii="Calibri" w:eastAsia="宋体" w:hAnsi="Calibri" w:cs="Calibri"/>
          <w:color w:val="646464"/>
          <w:kern w:val="0"/>
          <w:sz w:val="29"/>
          <w:szCs w:val="29"/>
        </w:rPr>
        <w:t> </w:t>
      </w:r>
    </w:p>
    <w:p w:rsidR="00995F6B" w:rsidRDefault="00995F6B">
      <w:bookmarkStart w:id="0" w:name="_GoBack"/>
      <w:bookmarkEnd w:id="0"/>
    </w:p>
    <w:sectPr w:rsidR="00995F6B" w:rsidSect="00455FA9">
      <w:pgSz w:w="16838" w:h="11906" w:orient="landscape"/>
      <w:pgMar w:top="709" w:right="709" w:bottom="849" w:left="99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0F"/>
    <w:rsid w:val="003B6E0F"/>
    <w:rsid w:val="0040208A"/>
    <w:rsid w:val="00455FA9"/>
    <w:rsid w:val="00462027"/>
    <w:rsid w:val="00995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C1A00-1D05-49DC-B476-24FA18D8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064860">
      <w:bodyDiv w:val="1"/>
      <w:marLeft w:val="0"/>
      <w:marRight w:val="0"/>
      <w:marTop w:val="0"/>
      <w:marBottom w:val="0"/>
      <w:divBdr>
        <w:top w:val="none" w:sz="0" w:space="0" w:color="auto"/>
        <w:left w:val="none" w:sz="0" w:space="0" w:color="auto"/>
        <w:bottom w:val="none" w:sz="0" w:space="0" w:color="auto"/>
        <w:right w:val="none" w:sz="0" w:space="0" w:color="auto"/>
      </w:divBdr>
      <w:divsChild>
        <w:div w:id="148982225">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Words>
  <Characters>1142</Characters>
  <Application>Microsoft Office Word</Application>
  <DocSecurity>0</DocSecurity>
  <Lines>9</Lines>
  <Paragraphs>2</Paragraphs>
  <ScaleCrop>false</ScaleCrop>
  <Company>DoubleOX</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2023-08-07T09:48:00Z</dcterms:created>
  <dcterms:modified xsi:type="dcterms:W3CDTF">2023-08-07T09:49:00Z</dcterms:modified>
</cp:coreProperties>
</file>